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24" w:rsidRDefault="00AB39C4">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Impacto del taller de matemática en los resultados de la prueba “Ser bachiller” </w:t>
      </w:r>
    </w:p>
    <w:p w:rsidR="00533D24" w:rsidRDefault="00AB39C4">
      <w:pPr>
        <w:spacing w:after="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Impact of the math workshop on the results of test a bachelor.</w:t>
      </w:r>
    </w:p>
    <w:p w:rsidR="00533D24" w:rsidRDefault="00AB39C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Impacto del taller de matemática</w:t>
      </w:r>
    </w:p>
    <w:p w:rsidR="00533D24" w:rsidRDefault="00AB39C4">
      <w:pPr>
        <w:spacing w:after="240" w:line="360" w:lineRule="auto"/>
        <w:jc w:val="both"/>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Fabrina</w:t>
      </w:r>
      <w:proofErr w:type="spellEnd"/>
      <w:r>
        <w:rPr>
          <w:rFonts w:ascii="Times New Roman" w:hAnsi="Times New Roman" w:cs="Times New Roman"/>
          <w:sz w:val="24"/>
          <w:szCs w:val="24"/>
          <w:lang w:val="es-ES_tradnl"/>
        </w:rPr>
        <w:t xml:space="preserve"> Monserrate Cedeño Mendoza </w:t>
      </w:r>
      <w:r>
        <w:rPr>
          <w:rFonts w:ascii="Times New Roman" w:hAnsi="Times New Roman" w:cs="Times New Roman"/>
          <w:sz w:val="24"/>
          <w:szCs w:val="24"/>
          <w:vertAlign w:val="superscript"/>
          <w:lang w:val="es-ES_tradnl"/>
        </w:rPr>
        <w:t>(</w:t>
      </w:r>
      <w:r>
        <w:rPr>
          <w:rFonts w:ascii="Times New Roman" w:hAnsi="Times New Roman" w:cs="Times New Roman"/>
          <w:sz w:val="24"/>
          <w:szCs w:val="24"/>
          <w:vertAlign w:val="superscript"/>
          <w:lang w:val="es-ES_tradnl"/>
        </w:rPr>
        <w:t>1</w:t>
      </w:r>
      <w:r>
        <w:rPr>
          <w:rFonts w:ascii="Times New Roman" w:hAnsi="Times New Roman" w:cs="Times New Roman"/>
          <w:sz w:val="24"/>
          <w:szCs w:val="24"/>
          <w:vertAlign w:val="superscript"/>
          <w:lang w:val="es-ES_tradnl"/>
        </w:rPr>
        <w:t>)</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Gilberto Antonio Jarre </w:t>
      </w:r>
      <w:proofErr w:type="gramStart"/>
      <w:r>
        <w:rPr>
          <w:rFonts w:ascii="Times New Roman" w:hAnsi="Times New Roman" w:cs="Times New Roman"/>
          <w:sz w:val="24"/>
          <w:szCs w:val="24"/>
          <w:lang w:val="es-ES_tradnl"/>
        </w:rPr>
        <w:t>Cedeño</w:t>
      </w:r>
      <w:r>
        <w:rPr>
          <w:rFonts w:ascii="Times New Roman" w:hAnsi="Times New Roman" w:cs="Times New Roman"/>
          <w:sz w:val="24"/>
          <w:szCs w:val="24"/>
          <w:vertAlign w:val="superscript"/>
          <w:lang w:val="es-ES_tradnl"/>
        </w:rPr>
        <w:t>(</w:t>
      </w:r>
      <w:proofErr w:type="gramEnd"/>
      <w:r>
        <w:rPr>
          <w:rFonts w:ascii="Times New Roman" w:hAnsi="Times New Roman" w:cs="Times New Roman"/>
          <w:sz w:val="24"/>
          <w:szCs w:val="24"/>
          <w:vertAlign w:val="superscript"/>
          <w:lang w:val="es-ES_tradnl"/>
        </w:rPr>
        <w:t>2</w:t>
      </w:r>
      <w:r>
        <w:rPr>
          <w:rFonts w:ascii="Times New Roman" w:hAnsi="Times New Roman" w:cs="Times New Roman"/>
          <w:sz w:val="24"/>
          <w:szCs w:val="24"/>
          <w:vertAlign w:val="superscript"/>
          <w:lang w:val="es-ES_tradnl"/>
        </w:rPr>
        <w:t>)</w:t>
      </w:r>
    </w:p>
    <w:p w:rsidR="00533D24" w:rsidRDefault="00AB39C4">
      <w:pPr>
        <w:spacing w:after="240" w:line="360" w:lineRule="auto"/>
        <w:jc w:val="both"/>
        <w:rPr>
          <w:rFonts w:ascii="Times New Roman" w:hAnsi="Times New Roman" w:cs="Times New Roman"/>
          <w:sz w:val="24"/>
          <w:szCs w:val="24"/>
          <w:vertAlign w:val="superscript"/>
          <w:lang w:val="es-ES_tradnl"/>
        </w:rPr>
      </w:pPr>
      <w:r>
        <w:rPr>
          <w:rFonts w:ascii="Times New Roman" w:hAnsi="Times New Roman" w:cs="Times New Roman"/>
          <w:sz w:val="24"/>
          <w:szCs w:val="24"/>
          <w:lang w:val="es-ES_tradnl"/>
        </w:rPr>
        <w:t>Robert Olmedo</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Zambrano </w:t>
      </w:r>
      <w:proofErr w:type="gramStart"/>
      <w:r>
        <w:rPr>
          <w:rFonts w:ascii="Times New Roman" w:hAnsi="Times New Roman" w:cs="Times New Roman"/>
          <w:sz w:val="24"/>
          <w:szCs w:val="24"/>
          <w:lang w:val="es-ES_tradnl"/>
        </w:rPr>
        <w:t>Santos</w:t>
      </w:r>
      <w:r>
        <w:rPr>
          <w:rFonts w:ascii="Times New Roman" w:hAnsi="Times New Roman" w:cs="Times New Roman"/>
          <w:sz w:val="24"/>
          <w:szCs w:val="24"/>
          <w:vertAlign w:val="superscript"/>
          <w:lang w:val="es-ES_tradnl"/>
        </w:rPr>
        <w:t>(</w:t>
      </w:r>
      <w:proofErr w:type="gramEnd"/>
      <w:r>
        <w:rPr>
          <w:rFonts w:ascii="Times New Roman" w:hAnsi="Times New Roman" w:cs="Times New Roman"/>
          <w:sz w:val="24"/>
          <w:szCs w:val="24"/>
          <w:vertAlign w:val="superscript"/>
          <w:lang w:val="es-ES_tradnl"/>
        </w:rPr>
        <w:t>3</w:t>
      </w:r>
      <w:r>
        <w:rPr>
          <w:rFonts w:ascii="Times New Roman" w:hAnsi="Times New Roman" w:cs="Times New Roman"/>
          <w:sz w:val="24"/>
          <w:szCs w:val="24"/>
          <w:vertAlign w:val="superscript"/>
          <w:lang w:val="es-ES_tradnl"/>
        </w:rPr>
        <w:t>)</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Gilberto Rafael Jarre </w:t>
      </w:r>
      <w:proofErr w:type="gramStart"/>
      <w:r>
        <w:rPr>
          <w:rFonts w:ascii="Times New Roman" w:hAnsi="Times New Roman" w:cs="Times New Roman"/>
          <w:sz w:val="24"/>
          <w:szCs w:val="24"/>
          <w:lang w:val="es-ES_tradnl"/>
        </w:rPr>
        <w:t>Vera</w:t>
      </w:r>
      <w:r>
        <w:rPr>
          <w:rFonts w:ascii="Times New Roman" w:hAnsi="Times New Roman" w:cs="Times New Roman"/>
          <w:sz w:val="24"/>
          <w:szCs w:val="24"/>
          <w:vertAlign w:val="superscript"/>
          <w:lang w:val="es-ES_tradnl"/>
        </w:rPr>
        <w:t>(</w:t>
      </w:r>
      <w:proofErr w:type="gramEnd"/>
      <w:r>
        <w:rPr>
          <w:rFonts w:ascii="Times New Roman" w:hAnsi="Times New Roman" w:cs="Times New Roman"/>
          <w:sz w:val="24"/>
          <w:szCs w:val="24"/>
          <w:vertAlign w:val="superscript"/>
          <w:lang w:val="es-ES_tradnl"/>
        </w:rPr>
        <w:t>4</w:t>
      </w:r>
      <w:r>
        <w:rPr>
          <w:rFonts w:ascii="Times New Roman" w:hAnsi="Times New Roman" w:cs="Times New Roman"/>
          <w:sz w:val="24"/>
          <w:szCs w:val="24"/>
          <w:vertAlign w:val="superscript"/>
          <w:lang w:val="es-ES_tradnl"/>
        </w:rPr>
        <w:t>)</w:t>
      </w:r>
    </w:p>
    <w:p w:rsidR="00533D24" w:rsidRDefault="00533D24">
      <w:pPr>
        <w:spacing w:after="0" w:line="240" w:lineRule="auto"/>
        <w:rPr>
          <w:rFonts w:ascii="Times New Roman" w:hAnsi="Times New Roman" w:cs="Times New Roman"/>
          <w:sz w:val="24"/>
          <w:szCs w:val="24"/>
          <w:vertAlign w:val="superscript"/>
          <w:lang w:val="es-ES_tradnl"/>
        </w:rPr>
      </w:pP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w:t>
      </w:r>
      <w:r>
        <w:rPr>
          <w:rFonts w:ascii="Times New Roman" w:hAnsi="Times New Roman" w:cs="Times New Roman"/>
          <w:sz w:val="24"/>
          <w:szCs w:val="24"/>
          <w:vertAlign w:val="superscript"/>
          <w:lang w:val="es-ES_tradnl"/>
        </w:rPr>
        <w:t xml:space="preserve"> </w:t>
      </w:r>
      <w:r>
        <w:rPr>
          <w:rFonts w:ascii="Times New Roman" w:hAnsi="Times New Roman" w:cs="Times New Roman"/>
          <w:sz w:val="24"/>
          <w:szCs w:val="24"/>
          <w:lang w:val="es-ES_tradnl"/>
        </w:rPr>
        <w:t xml:space="preserve">Universidad Técnica de Manabí. Ecuador. </w:t>
      </w:r>
      <w:proofErr w:type="gramStart"/>
      <w:r>
        <w:rPr>
          <w:rFonts w:ascii="Times New Roman" w:hAnsi="Times New Roman" w:cs="Times New Roman"/>
          <w:sz w:val="24"/>
          <w:szCs w:val="24"/>
          <w:lang w:val="es-ES_tradnl"/>
        </w:rPr>
        <w:t>email</w:t>
      </w:r>
      <w:proofErr w:type="gramEnd"/>
      <w:r>
        <w:rPr>
          <w:rFonts w:ascii="Times New Roman" w:hAnsi="Times New Roman" w:cs="Times New Roman"/>
          <w:sz w:val="24"/>
          <w:szCs w:val="24"/>
          <w:lang w:val="es-ES_tradnl"/>
        </w:rPr>
        <w:t xml:space="preserve">: </w:t>
      </w:r>
      <w:hyperlink r:id="rId6" w:tgtFrame="mailto:fabrina.cedeno@utm.edu.ec">
        <w:r>
          <w:rPr>
            <w:rStyle w:val="EnlacedeInternet"/>
            <w:rFonts w:ascii="Times New Roman" w:hAnsi="Times New Roman" w:cs="Times New Roman"/>
            <w:sz w:val="24"/>
            <w:szCs w:val="24"/>
            <w:lang w:val="es-ES_tradnl"/>
          </w:rPr>
          <w:t>fabrina.cedeno@utm.edu.ec</w:t>
        </w:r>
      </w:hyperlink>
      <w:r>
        <w:rPr>
          <w:rFonts w:ascii="Times New Roman" w:hAnsi="Times New Roman" w:cs="Times New Roman"/>
          <w:sz w:val="24"/>
          <w:szCs w:val="24"/>
          <w:lang w:val="es-ES_tradnl"/>
        </w:rPr>
        <w:t xml:space="preserve"> </w:t>
      </w:r>
    </w:p>
    <w:p w:rsidR="00533D24" w:rsidRDefault="00AB39C4">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ES_tradnl"/>
        </w:rPr>
        <w:t xml:space="preserve">(2) </w:t>
      </w:r>
      <w:r>
        <w:rPr>
          <w:rFonts w:ascii="Times New Roman" w:hAnsi="Times New Roman" w:cs="Times New Roman"/>
          <w:sz w:val="24"/>
          <w:szCs w:val="24"/>
          <w:lang w:val="es-ES_tradnl"/>
        </w:rPr>
        <w:t xml:space="preserve">Universidad Técnica de Manabí. Ecuador. </w:t>
      </w:r>
      <w:proofErr w:type="gramStart"/>
      <w:r>
        <w:rPr>
          <w:rFonts w:ascii="Times New Roman" w:hAnsi="Times New Roman" w:cs="Times New Roman"/>
          <w:sz w:val="24"/>
          <w:szCs w:val="24"/>
          <w:lang w:val="es-MX"/>
        </w:rPr>
        <w:t>email</w:t>
      </w:r>
      <w:proofErr w:type="gramEnd"/>
      <w:r>
        <w:rPr>
          <w:rFonts w:ascii="Times New Roman" w:hAnsi="Times New Roman" w:cs="Times New Roman"/>
          <w:sz w:val="24"/>
          <w:szCs w:val="24"/>
          <w:lang w:val="es-MX"/>
        </w:rPr>
        <w:t xml:space="preserve">: </w:t>
      </w:r>
      <w:hyperlink r:id="rId7" w:tgtFrame="mailto:gilberto.jarre@utm.edu.ec">
        <w:r>
          <w:rPr>
            <w:rStyle w:val="EnlacedeInternet"/>
            <w:rFonts w:ascii="Times New Roman" w:hAnsi="Times New Roman" w:cs="Times New Roman"/>
            <w:sz w:val="24"/>
            <w:szCs w:val="24"/>
            <w:lang w:val="es-MX"/>
          </w:rPr>
          <w:t>gilberto.jarre@utm.edu.ec</w:t>
        </w:r>
      </w:hyperlink>
      <w:r>
        <w:rPr>
          <w:rFonts w:ascii="Times New Roman" w:hAnsi="Times New Roman" w:cs="Times New Roman"/>
          <w:sz w:val="24"/>
          <w:szCs w:val="24"/>
          <w:lang w:val="es-MX"/>
        </w:rPr>
        <w:t xml:space="preserve"> </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(3)</w:t>
      </w:r>
      <w:r>
        <w:rPr>
          <w:rFonts w:ascii="Times New Roman" w:hAnsi="Times New Roman" w:cs="Times New Roman"/>
          <w:sz w:val="24"/>
          <w:szCs w:val="24"/>
          <w:vertAlign w:val="superscript"/>
          <w:lang w:val="es-ES_tradnl"/>
        </w:rPr>
        <w:t xml:space="preserve"> </w:t>
      </w:r>
      <w:r>
        <w:rPr>
          <w:rFonts w:ascii="Times New Roman" w:hAnsi="Times New Roman" w:cs="Times New Roman"/>
          <w:sz w:val="24"/>
          <w:szCs w:val="24"/>
          <w:lang w:val="es-ES_tradnl"/>
        </w:rPr>
        <w:t xml:space="preserve">Universidad Estatal del Sur de Manabí. Ecuador. </w:t>
      </w:r>
      <w:proofErr w:type="gramStart"/>
      <w:r>
        <w:rPr>
          <w:rFonts w:ascii="Times New Roman" w:hAnsi="Times New Roman" w:cs="Times New Roman"/>
          <w:sz w:val="24"/>
          <w:szCs w:val="24"/>
          <w:lang w:val="es-ES_tradnl"/>
        </w:rPr>
        <w:t>email</w:t>
      </w:r>
      <w:proofErr w:type="gramEnd"/>
      <w:r>
        <w:rPr>
          <w:rFonts w:ascii="Times New Roman" w:hAnsi="Times New Roman" w:cs="Times New Roman"/>
          <w:sz w:val="24"/>
          <w:szCs w:val="24"/>
          <w:lang w:val="es-ES_tradnl"/>
        </w:rPr>
        <w:t xml:space="preserve">:  </w:t>
      </w:r>
      <w:hyperlink r:id="rId8" w:tgtFrame="mailto:robertzambrano@unesum.edu.ec">
        <w:r>
          <w:rPr>
            <w:rStyle w:val="EnlacedeInternet"/>
            <w:rFonts w:ascii="Times New Roman" w:hAnsi="Times New Roman" w:cs="Times New Roman"/>
            <w:sz w:val="24"/>
            <w:szCs w:val="24"/>
            <w:lang w:val="es-ES_tradnl"/>
          </w:rPr>
          <w:t>robertzambrano@unesum.edu.ec</w:t>
        </w:r>
      </w:hyperlink>
      <w:r>
        <w:rPr>
          <w:rFonts w:ascii="Times New Roman" w:hAnsi="Times New Roman" w:cs="Times New Roman"/>
          <w:sz w:val="24"/>
          <w:szCs w:val="24"/>
          <w:lang w:val="es-ES_tradnl"/>
        </w:rPr>
        <w:t xml:space="preserve"> </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(4)</w:t>
      </w:r>
      <w:r>
        <w:rPr>
          <w:rFonts w:ascii="Times New Roman" w:hAnsi="Times New Roman" w:cs="Times New Roman"/>
          <w:sz w:val="24"/>
          <w:szCs w:val="24"/>
          <w:vertAlign w:val="superscript"/>
          <w:lang w:val="es-ES_tradnl"/>
        </w:rPr>
        <w:t xml:space="preserve"> </w:t>
      </w:r>
      <w:r>
        <w:rPr>
          <w:rFonts w:ascii="Times New Roman" w:hAnsi="Times New Roman" w:cs="Times New Roman"/>
          <w:sz w:val="24"/>
          <w:szCs w:val="24"/>
          <w:lang w:val="es-ES_tradnl"/>
        </w:rPr>
        <w:t xml:space="preserve">Universidad Técnica de Manabí. Ecuador. </w:t>
      </w:r>
      <w:proofErr w:type="gramStart"/>
      <w:r>
        <w:rPr>
          <w:rFonts w:ascii="Times New Roman" w:hAnsi="Times New Roman" w:cs="Times New Roman"/>
          <w:sz w:val="24"/>
          <w:szCs w:val="24"/>
          <w:lang w:val="es-ES_tradnl"/>
        </w:rPr>
        <w:t>email</w:t>
      </w:r>
      <w:proofErr w:type="gramEnd"/>
      <w:r>
        <w:rPr>
          <w:rFonts w:ascii="Times New Roman" w:hAnsi="Times New Roman" w:cs="Times New Roman"/>
          <w:sz w:val="24"/>
          <w:szCs w:val="24"/>
          <w:lang w:val="es-ES_tradnl"/>
        </w:rPr>
        <w:t xml:space="preserve">: </w:t>
      </w:r>
      <w:hyperlink r:id="rId9" w:tgtFrame="mailto:rafael.jarre@utm.edu.ec">
        <w:r>
          <w:rPr>
            <w:rStyle w:val="EnlacedeInternet"/>
            <w:rFonts w:ascii="Times New Roman" w:hAnsi="Times New Roman" w:cs="Times New Roman"/>
            <w:sz w:val="24"/>
            <w:szCs w:val="24"/>
            <w:lang w:val="es-ES_tradnl"/>
          </w:rPr>
          <w:t>rafael.jarre@utm.edu.ec</w:t>
        </w:r>
      </w:hyperlink>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p>
    <w:p w:rsidR="00533D24" w:rsidRDefault="00AB39C4">
      <w:pPr>
        <w:spacing w:after="240" w:line="360" w:lineRule="auto"/>
        <w:ind w:hanging="142"/>
        <w:jc w:val="right"/>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Contacto: </w:t>
      </w:r>
      <w:hyperlink r:id="rId10" w:tgtFrame="mailto:fabrina.cedeno@utm.edu.ec">
        <w:r>
          <w:rPr>
            <w:rStyle w:val="EnlacedeInternet"/>
            <w:rFonts w:ascii="Times New Roman" w:hAnsi="Times New Roman" w:cs="Times New Roman"/>
            <w:sz w:val="24"/>
            <w:szCs w:val="24"/>
            <w:lang w:val="es-ES_tradnl"/>
          </w:rPr>
          <w:t>fabrina.cedeno@utm.edu.ec</w:t>
        </w:r>
      </w:hyperlink>
      <w:r>
        <w:rPr>
          <w:rFonts w:ascii="Times New Roman" w:hAnsi="Times New Roman" w:cs="Times New Roman"/>
          <w:sz w:val="24"/>
          <w:szCs w:val="24"/>
          <w:lang w:val="es-ES_tradnl"/>
        </w:rPr>
        <w:t xml:space="preserve"> </w:t>
      </w:r>
    </w:p>
    <w:p w:rsidR="00533D24" w:rsidRDefault="00AB39C4">
      <w:pPr>
        <w:spacing w:line="360" w:lineRule="auto"/>
        <w:jc w:val="both"/>
        <w:rPr>
          <w:rFonts w:ascii="Times New Roman" w:hAnsi="Times New Roman"/>
          <w:b/>
          <w:bCs/>
          <w:color w:val="000000"/>
          <w:sz w:val="24"/>
          <w:szCs w:val="24"/>
          <w:lang w:val="es-US"/>
        </w:rPr>
      </w:pPr>
      <w:r>
        <w:rPr>
          <w:rFonts w:ascii="Times New Roman" w:hAnsi="Times New Roman"/>
          <w:b/>
          <w:bCs/>
          <w:color w:val="000000"/>
          <w:sz w:val="24"/>
          <w:szCs w:val="24"/>
          <w:lang w:val="es-US"/>
        </w:rPr>
        <w:t>Recibido</w:t>
      </w:r>
      <w:proofErr w:type="gramStart"/>
      <w:r>
        <w:rPr>
          <w:rFonts w:ascii="Times New Roman" w:hAnsi="Times New Roman"/>
          <w:b/>
          <w:bCs/>
          <w:color w:val="000000"/>
          <w:sz w:val="24"/>
          <w:szCs w:val="24"/>
          <w:lang w:val="es-US"/>
        </w:rPr>
        <w:t>:  21</w:t>
      </w:r>
      <w:proofErr w:type="gramEnd"/>
      <w:r>
        <w:rPr>
          <w:rFonts w:ascii="Times New Roman" w:hAnsi="Times New Roman"/>
          <w:b/>
          <w:bCs/>
          <w:color w:val="000000"/>
          <w:sz w:val="24"/>
          <w:szCs w:val="24"/>
          <w:lang w:val="es-US"/>
        </w:rPr>
        <w:t>-9-2020              Aprobado: 18-12-2020</w:t>
      </w:r>
    </w:p>
    <w:p w:rsidR="00533D24" w:rsidRDefault="00AB39C4">
      <w:pPr>
        <w:spacing w:after="240" w:line="360" w:lineRule="auto"/>
        <w:ind w:left="142" w:hanging="142"/>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Resumen</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investigación se fundamenta en el impacto del taller de matemática en los resultados de la prueba “Ser Bachiller” con estudiantes de tercero de bachillerato correspondientes a cuatro cursos de dos unidades educativas de la zona rural del cantón Santa An</w:t>
      </w:r>
      <w:r>
        <w:rPr>
          <w:rFonts w:ascii="Times New Roman" w:hAnsi="Times New Roman" w:cs="Times New Roman"/>
          <w:sz w:val="24"/>
          <w:szCs w:val="24"/>
          <w:lang w:val="es-ES_tradnl"/>
        </w:rPr>
        <w:t xml:space="preserve">a de la provincia de Manabí. El objetivo del estudio fue determinar el impacto del taller de matemática en los resultados de la prueba “Ser Bachiller” en </w:t>
      </w:r>
      <w:r>
        <w:rPr>
          <w:rFonts w:ascii="Times New Roman" w:hAnsi="Times New Roman" w:cs="Times New Roman"/>
          <w:sz w:val="24"/>
          <w:szCs w:val="24"/>
          <w:lang w:eastAsia="es-ES"/>
        </w:rPr>
        <w:t xml:space="preserve">dos unidades educativas de la zona rural del cantón Santa Ana de la provincia de Manabí en el periodo </w:t>
      </w:r>
      <w:r>
        <w:rPr>
          <w:rFonts w:ascii="Times New Roman" w:hAnsi="Times New Roman" w:cs="Times New Roman"/>
          <w:sz w:val="24"/>
          <w:szCs w:val="24"/>
          <w:lang w:eastAsia="es-ES"/>
        </w:rPr>
        <w:t xml:space="preserve">escolar 2019. </w:t>
      </w:r>
      <w:r>
        <w:rPr>
          <w:rFonts w:ascii="Times New Roman" w:hAnsi="Times New Roman" w:cs="Times New Roman"/>
          <w:sz w:val="24"/>
          <w:szCs w:val="24"/>
          <w:lang w:val="es-ES_tradnl"/>
        </w:rPr>
        <w:t xml:space="preserve">Se </w:t>
      </w:r>
      <w:r>
        <w:rPr>
          <w:rFonts w:ascii="Times New Roman" w:hAnsi="Times New Roman" w:cs="Times New Roman"/>
          <w:sz w:val="24"/>
          <w:szCs w:val="24"/>
          <w:lang w:eastAsia="es-ES"/>
        </w:rPr>
        <w:t>utilizó el método empírico y se aplicó un instrumento de evaluación de dominio matemático mediante una prueba de diagnóstico y una prueba final, esto implica antes del taller de matemática y después del taller,  con 40 preguntas  en cada p</w:t>
      </w:r>
      <w:r>
        <w:rPr>
          <w:rFonts w:ascii="Times New Roman" w:hAnsi="Times New Roman" w:cs="Times New Roman"/>
          <w:sz w:val="24"/>
          <w:szCs w:val="24"/>
          <w:lang w:eastAsia="es-ES"/>
        </w:rPr>
        <w:t xml:space="preserve">rueba, haciendo un estudio comparativo con los resultados obtenidos de la prueba “Ser Bachiller”. Los principales resultados destacan que </w:t>
      </w:r>
      <w:r>
        <w:rPr>
          <w:rFonts w:ascii="Times New Roman" w:hAnsi="Times New Roman" w:cs="Times New Roman"/>
          <w:sz w:val="24"/>
          <w:szCs w:val="24"/>
          <w:lang w:val="es-ES_tradnl"/>
        </w:rPr>
        <w:t xml:space="preserve">91 estudiantes </w:t>
      </w:r>
      <w:r>
        <w:rPr>
          <w:rFonts w:ascii="Times New Roman" w:hAnsi="Times New Roman" w:cs="Times New Roman"/>
          <w:sz w:val="24"/>
          <w:szCs w:val="24"/>
          <w:lang w:val="es-ES_tradnl"/>
        </w:rPr>
        <w:lastRenderedPageBreak/>
        <w:t>de los 128 estudiantes que recibieron el taller de matemática obtuvieron un cupo para el acceso a la ed</w:t>
      </w:r>
      <w:r>
        <w:rPr>
          <w:rFonts w:ascii="Times New Roman" w:hAnsi="Times New Roman" w:cs="Times New Roman"/>
          <w:sz w:val="24"/>
          <w:szCs w:val="24"/>
          <w:lang w:val="es-ES_tradnl"/>
        </w:rPr>
        <w:t>ucación superior, el 71.09%. Se concluye que, con la aplicación del taller de matemática se determinó el impacto en los resultados de la prueba “Ser Bachiller” haciendo énfasis que el taller fue un espacio que coadyuvó en el proceso de enseñanza-aprendizaj</w:t>
      </w:r>
      <w:r>
        <w:rPr>
          <w:rFonts w:ascii="Times New Roman" w:hAnsi="Times New Roman" w:cs="Times New Roman"/>
          <w:sz w:val="24"/>
          <w:szCs w:val="24"/>
          <w:lang w:val="es-ES_tradnl"/>
        </w:rPr>
        <w:t>e que sin lugar a duda es esencial y se encontró un tanto por ciento de estudiantes con dificultades y, docentes que no encuentran mecanismos adecuados para brindar una educación de calidad por carencia de formación pedagógica.</w:t>
      </w:r>
    </w:p>
    <w:p w:rsidR="00533D24" w:rsidRDefault="00AB39C4">
      <w:pPr>
        <w:spacing w:after="240" w:line="360" w:lineRule="auto"/>
        <w:ind w:left="142" w:hanging="142"/>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Palabras claves: </w:t>
      </w:r>
      <w:r>
        <w:rPr>
          <w:rFonts w:ascii="Times New Roman" w:hAnsi="Times New Roman" w:cs="Times New Roman"/>
          <w:sz w:val="24"/>
          <w:szCs w:val="24"/>
          <w:lang w:val="es-ES_tradnl"/>
        </w:rPr>
        <w:t>Taller de m</w:t>
      </w:r>
      <w:r>
        <w:rPr>
          <w:rFonts w:ascii="Times New Roman" w:hAnsi="Times New Roman" w:cs="Times New Roman"/>
          <w:sz w:val="24"/>
          <w:szCs w:val="24"/>
          <w:lang w:val="es-ES_tradnl"/>
        </w:rPr>
        <w:t>atemática, prueba ser bachiller, enseñanza aprendizaje.</w:t>
      </w:r>
    </w:p>
    <w:p w:rsidR="00533D24" w:rsidRDefault="00AB39C4">
      <w:pPr>
        <w:spacing w:after="240" w:line="360" w:lineRule="auto"/>
        <w:ind w:left="142" w:hanging="142"/>
        <w:rPr>
          <w:rFonts w:ascii="Times New Roman" w:hAnsi="Times New Roman" w:cs="Times New Roman"/>
          <w:b/>
          <w:sz w:val="24"/>
          <w:szCs w:val="24"/>
          <w:lang w:val="en-US"/>
        </w:rPr>
      </w:pPr>
      <w:r>
        <w:rPr>
          <w:rFonts w:ascii="Times New Roman" w:hAnsi="Times New Roman" w:cs="Times New Roman"/>
          <w:b/>
          <w:sz w:val="24"/>
          <w:szCs w:val="24"/>
          <w:lang w:val="en-US"/>
        </w:rPr>
        <w:t>Summary</w:t>
      </w:r>
    </w:p>
    <w:p w:rsidR="00533D24" w:rsidRPr="00AB39C4" w:rsidRDefault="00AB39C4">
      <w:p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 is based on the impact of the mathematics workshop on the results of the "Being a Bachelor" test with third year high school students corresponding to four courses from two </w:t>
      </w:r>
      <w:proofErr w:type="gramStart"/>
      <w:r>
        <w:rPr>
          <w:rFonts w:ascii="Times New Roman" w:hAnsi="Times New Roman" w:cs="Times New Roman"/>
          <w:sz w:val="24"/>
          <w:szCs w:val="24"/>
          <w:lang w:val="en-US"/>
        </w:rPr>
        <w:t>educat</w:t>
      </w:r>
      <w:r>
        <w:rPr>
          <w:rFonts w:ascii="Times New Roman" w:hAnsi="Times New Roman" w:cs="Times New Roman"/>
          <w:sz w:val="24"/>
          <w:szCs w:val="24"/>
          <w:lang w:val="en-US"/>
        </w:rPr>
        <w:t>ional</w:t>
      </w:r>
      <w:proofErr w:type="gramEnd"/>
      <w:r>
        <w:rPr>
          <w:rFonts w:ascii="Times New Roman" w:hAnsi="Times New Roman" w:cs="Times New Roman"/>
          <w:sz w:val="24"/>
          <w:szCs w:val="24"/>
          <w:lang w:val="en-US"/>
        </w:rPr>
        <w:t xml:space="preserve"> units in the rural area of the Santa Ana canton of the Manabí province. The objective of the study was to determine the impact of the mathematics workshop on the results of the “Being a Bachelor” test in two educational units in the rural area of the</w:t>
      </w:r>
      <w:r>
        <w:rPr>
          <w:rFonts w:ascii="Times New Roman" w:hAnsi="Times New Roman" w:cs="Times New Roman"/>
          <w:sz w:val="24"/>
          <w:szCs w:val="24"/>
          <w:lang w:val="en-US"/>
        </w:rPr>
        <w:t xml:space="preserve"> Santa Ana canton of the Manabí province in the 2019 school period. The empirical method was used and a mathematical domain assessment instrument was applied through a diagnostic test and a final test, this implies before the mathematics workshop and after</w:t>
      </w:r>
      <w:r>
        <w:rPr>
          <w:rFonts w:ascii="Times New Roman" w:hAnsi="Times New Roman" w:cs="Times New Roman"/>
          <w:sz w:val="24"/>
          <w:szCs w:val="24"/>
          <w:lang w:val="en-US"/>
        </w:rPr>
        <w:t xml:space="preserve"> the workshop, with 40 questions in each test, making a comparative study with the results obtained from the test "Being a Bachelor". The main results stand out that 91 students of the 128 students who received the mathematics workshop obtained a quota for</w:t>
      </w:r>
      <w:r>
        <w:rPr>
          <w:rFonts w:ascii="Times New Roman" w:hAnsi="Times New Roman" w:cs="Times New Roman"/>
          <w:sz w:val="24"/>
          <w:szCs w:val="24"/>
          <w:lang w:val="en-US"/>
        </w:rPr>
        <w:t xml:space="preserve"> access to higher education, 71.09%. It is concluded that, with the application of the mathematics workshop, the impact on the results of the “Being a Bachelor” test was determined, emphasizing that the workshop was a space that contributed to the teaching</w:t>
      </w:r>
      <w:r>
        <w:rPr>
          <w:rFonts w:ascii="Times New Roman" w:hAnsi="Times New Roman" w:cs="Times New Roman"/>
          <w:sz w:val="24"/>
          <w:szCs w:val="24"/>
          <w:lang w:val="en-US"/>
        </w:rPr>
        <w:t>-learning process, which is undoubtedly essential and It was found a percentage of students with difficulties and teachers who do not find adequate mechanisms to provide quality education due to lack of pedagogical training.</w:t>
      </w:r>
    </w:p>
    <w:p w:rsidR="00533D24" w:rsidRPr="00AB39C4" w:rsidRDefault="00AB39C4">
      <w:pPr>
        <w:spacing w:after="240" w:line="360" w:lineRule="auto"/>
        <w:ind w:left="142" w:hanging="142"/>
        <w:jc w:val="both"/>
        <w:rPr>
          <w:rFonts w:ascii="Times New Roman" w:hAnsi="Times New Roman" w:cs="Times New Roman"/>
          <w:sz w:val="24"/>
          <w:szCs w:val="24"/>
          <w:lang w:val="en-US"/>
        </w:rPr>
      </w:pPr>
      <w:r w:rsidRPr="00AB39C4">
        <w:rPr>
          <w:rFonts w:ascii="Times New Roman" w:hAnsi="Times New Roman" w:cs="Times New Roman"/>
          <w:b/>
          <w:sz w:val="24"/>
          <w:szCs w:val="24"/>
          <w:lang w:val="en-US"/>
        </w:rPr>
        <w:t>Key Words:</w:t>
      </w:r>
      <w:r w:rsidRPr="00AB39C4">
        <w:rPr>
          <w:rFonts w:ascii="Times New Roman" w:hAnsi="Times New Roman" w:cs="Times New Roman"/>
          <w:sz w:val="24"/>
          <w:szCs w:val="24"/>
          <w:lang w:val="en-US"/>
        </w:rPr>
        <w:t xml:space="preserve"> Math workshop, test </w:t>
      </w:r>
      <w:r w:rsidRPr="00AB39C4">
        <w:rPr>
          <w:rFonts w:ascii="Times New Roman" w:hAnsi="Times New Roman" w:cs="Times New Roman"/>
          <w:sz w:val="24"/>
          <w:szCs w:val="24"/>
          <w:lang w:val="en-US"/>
        </w:rPr>
        <w:t>be bachelor, teaching learning.</w:t>
      </w:r>
    </w:p>
    <w:p w:rsidR="00533D24" w:rsidRDefault="00AB39C4">
      <w:pPr>
        <w:spacing w:after="240" w:line="360" w:lineRule="auto"/>
        <w:ind w:left="142" w:hanging="142"/>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Introducción</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Mucho es el interés que se tiene por parte de los docentes, para que los estudiantes de tercero de bachillerato obtengan un conocimiento sobre matemática, debido a que existe una apatía de esta </w:t>
      </w:r>
      <w:r>
        <w:rPr>
          <w:rFonts w:ascii="Times New Roman" w:hAnsi="Times New Roman" w:cs="Times New Roman"/>
          <w:sz w:val="24"/>
          <w:szCs w:val="24"/>
          <w:lang w:val="es-ES_tradnl"/>
        </w:rPr>
        <w:lastRenderedPageBreak/>
        <w:t xml:space="preserve">asignatura; el </w:t>
      </w:r>
      <w:r>
        <w:rPr>
          <w:rFonts w:ascii="Times New Roman" w:hAnsi="Times New Roman" w:cs="Times New Roman"/>
          <w:sz w:val="24"/>
          <w:szCs w:val="24"/>
          <w:lang w:val="es-ES_tradnl"/>
        </w:rPr>
        <w:t>saber Matemática, a más de ser satisfactorio, es considerablemente necesario para poder interactuar con facilidad y eficacia en un mundo “matematizado” (Villalón, Medina, &amp; Bravo, 2015). Generalmente las actividades habituales</w:t>
      </w:r>
      <w:r>
        <w:rPr>
          <w:rFonts w:ascii="Times New Roman" w:hAnsi="Times New Roman" w:cs="Times New Roman"/>
          <w:sz w:val="24"/>
          <w:szCs w:val="24"/>
        </w:rPr>
        <w:t xml:space="preserve"> requieren de decisiones asent</w:t>
      </w:r>
      <w:r>
        <w:rPr>
          <w:rFonts w:ascii="Times New Roman" w:hAnsi="Times New Roman" w:cs="Times New Roman"/>
          <w:sz w:val="24"/>
          <w:szCs w:val="24"/>
        </w:rPr>
        <w:t xml:space="preserve">adas en esta ciencia como, por ejemplo, preferir la mejor opción de compra de un producto, razonar sobre los gráficos de los periódicos, establecer concatenaciones lógicas de razonamiento o decidir sobre las mejores expectativas de inversión, al igual que </w:t>
      </w:r>
      <w:r>
        <w:rPr>
          <w:rFonts w:ascii="Times New Roman" w:hAnsi="Times New Roman" w:cs="Times New Roman"/>
          <w:sz w:val="24"/>
          <w:szCs w:val="24"/>
        </w:rPr>
        <w:t>desentrañar el entorno, los entes cotidianos, obras de arte.</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sociedad actual está enérgicamente impregnada por las matemáticas y éstas han logrado escalar, no sólo en lo concerniente a su contribución al impulso socioeconómico y tecnológico, sino del </w:t>
      </w:r>
      <w:r>
        <w:rPr>
          <w:rFonts w:ascii="Times New Roman" w:hAnsi="Times New Roman" w:cs="Times New Roman"/>
          <w:sz w:val="24"/>
          <w:szCs w:val="24"/>
        </w:rPr>
        <w:t>mismo modo en la vida cotidiana, social, cultural y política de todos los países (</w:t>
      </w:r>
      <w:r>
        <w:rPr>
          <w:rFonts w:ascii="Times New Roman" w:hAnsi="Times New Roman" w:cs="Times New Roman"/>
          <w:sz w:val="24"/>
          <w:szCs w:val="24"/>
          <w:lang w:val="es-MX"/>
        </w:rPr>
        <w:t>Nuñez</w:t>
      </w:r>
      <w:proofErr w:type="gramStart"/>
      <w:r>
        <w:rPr>
          <w:rFonts w:ascii="Times New Roman" w:hAnsi="Times New Roman" w:cs="Times New Roman"/>
          <w:sz w:val="24"/>
          <w:szCs w:val="24"/>
          <w:lang w:val="es-MX"/>
        </w:rPr>
        <w:t>,2018</w:t>
      </w:r>
      <w:proofErr w:type="gramEnd"/>
      <w:r>
        <w:rPr>
          <w:rFonts w:ascii="Times New Roman" w:hAnsi="Times New Roman" w:cs="Times New Roman"/>
          <w:sz w:val="24"/>
          <w:szCs w:val="24"/>
        </w:rPr>
        <w:t xml:space="preserve">). Vivimos en un mundo cimentado en la ciencia y la tecnología y dentro de una humanidad que se vuelve cada vez más dependiente de ambas, así pues, las matemáticas </w:t>
      </w:r>
      <w:r>
        <w:rPr>
          <w:rFonts w:ascii="Times New Roman" w:hAnsi="Times New Roman" w:cs="Times New Roman"/>
          <w:sz w:val="24"/>
          <w:szCs w:val="24"/>
        </w:rPr>
        <w:t>son el resultado esencial para perdurar, proporcionar los prerrequisitos que permiten el perfeccionamiento de ciudadanos competentes, interactivos, absortos y críticos, con poder de actuación en sociedades del conocimiento. (Daza, 2017)</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Antes del siglo XX,</w:t>
      </w:r>
      <w:r>
        <w:rPr>
          <w:rFonts w:ascii="Times New Roman" w:hAnsi="Times New Roman" w:cs="Times New Roman"/>
          <w:sz w:val="24"/>
          <w:szCs w:val="24"/>
        </w:rPr>
        <w:t xml:space="preserve"> uno de los primordiales objetivos de los diferentes procedimientos educativos era alcanzar la alfabetización de todos los ciudadanos, por tanto, saber leer y escribir se consideraba como un requerimiento mínimo e imprescindible para desenvolverse en la co</w:t>
      </w:r>
      <w:r>
        <w:rPr>
          <w:rFonts w:ascii="Times New Roman" w:hAnsi="Times New Roman" w:cs="Times New Roman"/>
          <w:sz w:val="24"/>
          <w:szCs w:val="24"/>
        </w:rPr>
        <w:t>lectividad, pero hoy en día se requiere algo más que eso; de forma equivalente al concepto de alfabetización germinan los términos “</w:t>
      </w:r>
      <w:proofErr w:type="spellStart"/>
      <w:r>
        <w:rPr>
          <w:rFonts w:ascii="Times New Roman" w:hAnsi="Times New Roman" w:cs="Times New Roman"/>
          <w:sz w:val="24"/>
          <w:szCs w:val="24"/>
        </w:rPr>
        <w:t>numeracy</w:t>
      </w:r>
      <w:proofErr w:type="spellEnd"/>
      <w:r>
        <w:rPr>
          <w:rFonts w:ascii="Times New Roman" w:hAnsi="Times New Roman" w:cs="Times New Roman"/>
          <w:sz w:val="24"/>
          <w:szCs w:val="24"/>
        </w:rPr>
        <w:t>” o “</w:t>
      </w:r>
      <w:proofErr w:type="spellStart"/>
      <w:r>
        <w:rPr>
          <w:rFonts w:ascii="Times New Roman" w:hAnsi="Times New Roman" w:cs="Times New Roman"/>
          <w:sz w:val="24"/>
          <w:szCs w:val="24"/>
        </w:rPr>
        <w:t>mathemacy</w:t>
      </w:r>
      <w:proofErr w:type="spellEnd"/>
      <w:r>
        <w:rPr>
          <w:rFonts w:ascii="Times New Roman" w:hAnsi="Times New Roman" w:cs="Times New Roman"/>
          <w:sz w:val="24"/>
          <w:szCs w:val="24"/>
        </w:rPr>
        <w:t>”, refiriéndose a la “alfabetización en matemáticas”, que se describe a las exigencias mínimas en mate</w:t>
      </w:r>
      <w:r>
        <w:rPr>
          <w:rFonts w:ascii="Times New Roman" w:hAnsi="Times New Roman" w:cs="Times New Roman"/>
          <w:sz w:val="24"/>
          <w:szCs w:val="24"/>
        </w:rPr>
        <w:t>máticas que toda persona debe obtener para poder desenvolverse en la sociedad. (</w:t>
      </w:r>
      <w:proofErr w:type="spellStart"/>
      <w:r>
        <w:rPr>
          <w:rFonts w:ascii="Times New Roman" w:hAnsi="Times New Roman" w:cs="Times New Roman"/>
          <w:sz w:val="24"/>
          <w:szCs w:val="24"/>
        </w:rPr>
        <w:t>Benjumeda</w:t>
      </w:r>
      <w:proofErr w:type="spellEnd"/>
      <w:r>
        <w:rPr>
          <w:rFonts w:ascii="Times New Roman" w:hAnsi="Times New Roman" w:cs="Times New Roman"/>
          <w:sz w:val="24"/>
          <w:szCs w:val="24"/>
        </w:rPr>
        <w:t>, Romero, &amp; López-Martín, 2018)</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la actualidad vivimos las secuelas de un prolongado hábito de estudios y un consenso compartido por distintas sociedades, la de inve</w:t>
      </w:r>
      <w:r>
        <w:rPr>
          <w:rFonts w:ascii="Times New Roman" w:hAnsi="Times New Roman" w:cs="Times New Roman"/>
          <w:sz w:val="24"/>
          <w:szCs w:val="24"/>
        </w:rPr>
        <w:t>stigadores, la de docentes y la de políticos educativos, entre otras, sobre el significativo papel que debe desempeñar el docente en el proceso de enseñanza-aprendizaje frente al dominio matemático abarcado por los estudiantes de tercero de bachillerato, (</w:t>
      </w:r>
      <w:r>
        <w:rPr>
          <w:rFonts w:ascii="Times New Roman" w:hAnsi="Times New Roman" w:cs="Times New Roman"/>
          <w:sz w:val="24"/>
          <w:szCs w:val="24"/>
        </w:rPr>
        <w:t xml:space="preserve">Flores &amp; </w:t>
      </w:r>
      <w:proofErr w:type="spellStart"/>
      <w:r>
        <w:rPr>
          <w:rFonts w:ascii="Times New Roman" w:hAnsi="Times New Roman" w:cs="Times New Roman"/>
          <w:sz w:val="24"/>
          <w:szCs w:val="24"/>
        </w:rPr>
        <w:t>Rogel</w:t>
      </w:r>
      <w:proofErr w:type="spellEnd"/>
      <w:r>
        <w:rPr>
          <w:rFonts w:ascii="Times New Roman" w:hAnsi="Times New Roman" w:cs="Times New Roman"/>
          <w:sz w:val="24"/>
          <w:szCs w:val="24"/>
        </w:rPr>
        <w:t xml:space="preserve">, 2019), identificado por algunas continuidades, así como rupturas, desplazamientos y transformaciones, demostrando apatía, desinterés y miedo ante un posible fracaso en las pruebas “Ser Bachiller”. </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w:t>
      </w:r>
      <w:r>
        <w:rPr>
          <w:rFonts w:ascii="Times New Roman" w:hAnsi="Times New Roman" w:cs="Times New Roman"/>
          <w:sz w:val="24"/>
          <w:szCs w:val="24"/>
          <w:lang w:val="es-MX"/>
        </w:rPr>
        <w:t xml:space="preserve">Becerra, Valencia, &amp; </w:t>
      </w:r>
      <w:proofErr w:type="spellStart"/>
      <w:r>
        <w:rPr>
          <w:rFonts w:ascii="Times New Roman" w:hAnsi="Times New Roman" w:cs="Times New Roman"/>
          <w:sz w:val="24"/>
          <w:szCs w:val="24"/>
          <w:lang w:val="es-MX"/>
        </w:rPr>
        <w:t>Valdéz</w:t>
      </w:r>
      <w:proofErr w:type="spellEnd"/>
      <w:r>
        <w:rPr>
          <w:rFonts w:ascii="Times New Roman" w:hAnsi="Times New Roman" w:cs="Times New Roman"/>
          <w:sz w:val="24"/>
          <w:szCs w:val="24"/>
          <w:lang w:val="es-MX"/>
        </w:rPr>
        <w:t xml:space="preserve"> (2018)</w:t>
      </w:r>
      <w:r>
        <w:rPr>
          <w:rFonts w:ascii="Times New Roman" w:hAnsi="Times New Roman" w:cs="Times New Roman"/>
          <w:sz w:val="24"/>
          <w:szCs w:val="24"/>
        </w:rPr>
        <w:t xml:space="preserve">, </w:t>
      </w:r>
      <w:r>
        <w:rPr>
          <w:rFonts w:ascii="Times New Roman" w:hAnsi="Times New Roman" w:cs="Times New Roman"/>
          <w:sz w:val="24"/>
          <w:szCs w:val="24"/>
        </w:rPr>
        <w:t>la matemática nos ayuda a disipar problemas, de temas básicas o complejas, tradicionalmente se aprende resolviendo problemas sencillos al inicio, posteriormente éstos se sistematizan para solucionar problemas más complicados. Como ejemplo, para resolver un</w:t>
      </w:r>
      <w:r>
        <w:rPr>
          <w:rFonts w:ascii="Times New Roman" w:hAnsi="Times New Roman" w:cs="Times New Roman"/>
          <w:sz w:val="24"/>
          <w:szCs w:val="24"/>
        </w:rPr>
        <w:t>a ecuación algebraica, es ineludible tener conocimientos de suma, resta, multiplicación y división, conocer el orden de los procesos, para aplicar en las ecuaciones. Así, no son necesarias exclusivamente para adquirir una calificación aprobatoria y pasar d</w:t>
      </w:r>
      <w:r>
        <w:rPr>
          <w:rFonts w:ascii="Times New Roman" w:hAnsi="Times New Roman" w:cs="Times New Roman"/>
          <w:sz w:val="24"/>
          <w:szCs w:val="24"/>
        </w:rPr>
        <w:t>e año sino para obtener un cupo, ingresar y permanecer en la universidad.  En la actualidad para postular a la educación superior de nuestro país, los procesos de admisión son rigurosos y sólo son aceptados los estudiantes con los más altos puntajes. (Cede</w:t>
      </w:r>
      <w:r>
        <w:rPr>
          <w:rFonts w:ascii="Times New Roman" w:hAnsi="Times New Roman" w:cs="Times New Roman"/>
          <w:sz w:val="24"/>
          <w:szCs w:val="24"/>
        </w:rPr>
        <w:t>ño, Jarre, Macías, &amp; Jarre, 2020)</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En este sentido se debe recurrir a una prueba de diagnóstico de matemática la misma que surge como una necesidad de conseguir información obtenida por los estudiantes de tercero de bachillerato; para conocer sobre esta pru</w:t>
      </w:r>
      <w:r>
        <w:rPr>
          <w:rFonts w:ascii="Times New Roman" w:hAnsi="Times New Roman" w:cs="Times New Roman"/>
          <w:sz w:val="24"/>
          <w:szCs w:val="24"/>
        </w:rPr>
        <w:t xml:space="preserve">eba, es preciso enfatizar el tema de dominio matemático, resaltando el desempeño satisfactorio a cerca de los contenidos propuestos; la intención de la prueba de diagnóstico es preparar al estudiante de sus posibles insuficiencias matemáticas y ofrecerle, </w:t>
      </w:r>
      <w:r>
        <w:rPr>
          <w:rFonts w:ascii="Times New Roman" w:hAnsi="Times New Roman" w:cs="Times New Roman"/>
          <w:sz w:val="24"/>
          <w:szCs w:val="24"/>
        </w:rPr>
        <w:t>a la vez, talleres como una opción para mejorar el proceso de enseñanza-aprendizaje y así lograr altos resultados en la prueba “Ser Bachiller”. (Zamora, 2015)</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Por otra parte los resultados de la prueba “Ser Bachiller” se han convertido en sinónimo de calid</w:t>
      </w:r>
      <w:r>
        <w:rPr>
          <w:rFonts w:ascii="Times New Roman" w:hAnsi="Times New Roman" w:cs="Times New Roman"/>
          <w:sz w:val="24"/>
          <w:szCs w:val="24"/>
        </w:rPr>
        <w:t>ad educativa, esto conlleva a resaltar la significación del objeto de estudio, como una estrategia de marketing planteada por las unidades educativas de la zona urbana que acceden a elevados puntajes, ya que los resultados de la prueba “Ser Bachiller” ofre</w:t>
      </w:r>
      <w:r>
        <w:rPr>
          <w:rFonts w:ascii="Times New Roman" w:hAnsi="Times New Roman" w:cs="Times New Roman"/>
          <w:sz w:val="24"/>
          <w:szCs w:val="24"/>
        </w:rPr>
        <w:t>cen una perspectiva general de dominio matemático como logro alcanzado por los estudiantes que fueron evaluados. (Alcívar, 2019)</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Por consiguiente, la mayoría de las unidades educativas de la zona rural no ofrecen igualdad de oportunidades educativas a los </w:t>
      </w:r>
      <w:r>
        <w:rPr>
          <w:rFonts w:ascii="Times New Roman" w:hAnsi="Times New Roman" w:cs="Times New Roman"/>
          <w:sz w:val="24"/>
          <w:szCs w:val="24"/>
        </w:rPr>
        <w:t>estudiantes de tercero de bachillerato y quedan fuera del sistema educativo universitario siendo un factor importante la falta de procesos de enseñanza-aprendizaje, que atribuye a que los estudiantes tengan dificultades y no cumplan con los resultados requ</w:t>
      </w:r>
      <w:r>
        <w:rPr>
          <w:rFonts w:ascii="Times New Roman" w:hAnsi="Times New Roman" w:cs="Times New Roman"/>
          <w:sz w:val="24"/>
          <w:szCs w:val="24"/>
        </w:rPr>
        <w:t xml:space="preserve">eridos por parte de las autoridades de las unidades educativas a la hora de realizar la prueba “Ser Bachiller”, del mismo modo existe docentes con dificultades que </w:t>
      </w:r>
      <w:r>
        <w:rPr>
          <w:rFonts w:ascii="Times New Roman" w:hAnsi="Times New Roman" w:cs="Times New Roman"/>
          <w:sz w:val="24"/>
          <w:szCs w:val="24"/>
        </w:rPr>
        <w:lastRenderedPageBreak/>
        <w:t>evidencian su práctica docente sin fundamentación o integración pedagógica que menoscaba a l</w:t>
      </w:r>
      <w:r>
        <w:rPr>
          <w:rFonts w:ascii="Times New Roman" w:hAnsi="Times New Roman" w:cs="Times New Roman"/>
          <w:sz w:val="24"/>
          <w:szCs w:val="24"/>
        </w:rPr>
        <w:t>os estudiantes en el proceso de enseñanza-aprendizaje. (Marín, 2019)</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De esta forma se requiere de un taller como un entrenamiento para la prueba “Ser Bachiller”, siendo así una herramienta que evalúa el perfeccionamiento de las capacidades y habilidades qu</w:t>
      </w:r>
      <w:r>
        <w:rPr>
          <w:rFonts w:ascii="Times New Roman" w:hAnsi="Times New Roman" w:cs="Times New Roman"/>
          <w:sz w:val="24"/>
          <w:szCs w:val="24"/>
        </w:rPr>
        <w:t>e los estudiantes deben conseguir al culminar el bachillerato y que son principalmente necesarias para el desarrollo exitoso como ciudadanos y para poder acceder a la educación superior; lo que proporciona una estimulación adicional para los estudiantes de</w:t>
      </w:r>
      <w:r>
        <w:rPr>
          <w:rFonts w:ascii="Times New Roman" w:hAnsi="Times New Roman" w:cs="Times New Roman"/>
          <w:sz w:val="24"/>
          <w:szCs w:val="24"/>
        </w:rPr>
        <w:t xml:space="preserve"> tercero de bachillerato, pero sin perder de vista el objetivo de esta investigación: Determinar el impacto del taller de matemática en los resultados de la prueba “Ser Bachiller”. </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lang w:eastAsia="es-ES"/>
        </w:rPr>
        <w:t>La contribución que brindó esta investigación con la aplicación del taller</w:t>
      </w:r>
      <w:r>
        <w:rPr>
          <w:rFonts w:ascii="Times New Roman" w:hAnsi="Times New Roman" w:cs="Times New Roman"/>
          <w:sz w:val="24"/>
          <w:szCs w:val="24"/>
          <w:lang w:eastAsia="es-ES"/>
        </w:rPr>
        <w:t xml:space="preserve"> fue </w:t>
      </w:r>
      <w:r>
        <w:rPr>
          <w:rFonts w:ascii="Times New Roman" w:hAnsi="Times New Roman" w:cs="Times New Roman"/>
          <w:sz w:val="24"/>
          <w:szCs w:val="24"/>
        </w:rPr>
        <w:t>incitar el pensamiento preliminar al abordar inconvenientes de dominio matemático y hacerlo deleitarse de la distinción y la belleza que una idea intuitiva e inadvertida puede contribuir para solucionar un argumento aparentemente esquivo y completar l</w:t>
      </w:r>
      <w:r>
        <w:rPr>
          <w:rFonts w:ascii="Times New Roman" w:hAnsi="Times New Roman" w:cs="Times New Roman"/>
          <w:sz w:val="24"/>
          <w:szCs w:val="24"/>
        </w:rPr>
        <w:t>os conocimientos matemáticos en el cúmulo de saberes que se van conquistando desde las múltiples materias de manera que puedan aprovechar de forma creativa, metódica y crítica, con el propósito de obtener mejores resultados en la prueba “Ser Bachiller”.</w:t>
      </w:r>
    </w:p>
    <w:p w:rsidR="00533D24" w:rsidRDefault="00AB39C4">
      <w:pPr>
        <w:tabs>
          <w:tab w:val="left" w:pos="2415"/>
          <w:tab w:val="left" w:pos="8222"/>
        </w:tabs>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El</w:t>
      </w:r>
      <w:r>
        <w:rPr>
          <w:rFonts w:ascii="Times New Roman" w:hAnsi="Times New Roman" w:cs="Times New Roman"/>
          <w:sz w:val="24"/>
          <w:szCs w:val="24"/>
          <w:lang w:val="es-ES_tradnl"/>
        </w:rPr>
        <w:t xml:space="preserve"> objetivo del estudio fue determinar el impacto del taller de matemática en los resultados de la prueba “Ser Bachiller” en </w:t>
      </w:r>
      <w:r>
        <w:rPr>
          <w:rFonts w:ascii="Times New Roman" w:hAnsi="Times New Roman" w:cs="Times New Roman"/>
          <w:sz w:val="24"/>
          <w:szCs w:val="24"/>
          <w:lang w:eastAsia="es-ES"/>
        </w:rPr>
        <w:t>dos unidades educativas de la zona rural del cantón Santa Ana de la provincia de Manabí en el periodo escolar 2019.</w:t>
      </w:r>
    </w:p>
    <w:p w:rsidR="00533D24" w:rsidRDefault="00AB39C4">
      <w:pPr>
        <w:spacing w:after="240" w:line="360" w:lineRule="auto"/>
        <w:ind w:left="142" w:hanging="142"/>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Material y método</w:t>
      </w:r>
      <w:r>
        <w:rPr>
          <w:rFonts w:ascii="Times New Roman" w:hAnsi="Times New Roman" w:cs="Times New Roman"/>
          <w:b/>
          <w:sz w:val="24"/>
          <w:szCs w:val="24"/>
          <w:lang w:val="es-ES_tradnl"/>
        </w:rPr>
        <w:t>s</w:t>
      </w:r>
    </w:p>
    <w:p w:rsidR="00533D24" w:rsidRDefault="00AB39C4">
      <w:pPr>
        <w:tabs>
          <w:tab w:val="left" w:pos="2415"/>
          <w:tab w:val="left" w:pos="8222"/>
        </w:tabs>
        <w:spacing w:after="24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Para la realización de este trabajo se utilizó el método empírico, que se constituye en el nivel más elemental de la investigación, se recopilaron los primeros datos del objeto de la investigación, donde se evaluaron a 128 estudiantes de cuatro cursos de</w:t>
      </w:r>
      <w:r>
        <w:rPr>
          <w:rFonts w:ascii="Times New Roman" w:hAnsi="Times New Roman" w:cs="Times New Roman"/>
          <w:sz w:val="24"/>
          <w:szCs w:val="24"/>
          <w:lang w:eastAsia="es-ES"/>
        </w:rPr>
        <w:t xml:space="preserve"> dos Unidades Educativas de la zona rural del cantón Santa Ana de la provincia de Manabí en el periodo escolar 2019.</w:t>
      </w:r>
    </w:p>
    <w:p w:rsidR="00533D24" w:rsidRDefault="00AB39C4">
      <w:pPr>
        <w:tabs>
          <w:tab w:val="left" w:pos="2415"/>
          <w:tab w:val="left" w:pos="8222"/>
        </w:tabs>
        <w:spacing w:after="24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El instrumento de evaluación de dominio matemático se desarrolló mediante una prueba de diagnóstico y una prueba final, esto implica antes </w:t>
      </w:r>
      <w:r>
        <w:rPr>
          <w:rFonts w:ascii="Times New Roman" w:hAnsi="Times New Roman" w:cs="Times New Roman"/>
          <w:sz w:val="24"/>
          <w:szCs w:val="24"/>
          <w:lang w:eastAsia="es-ES"/>
        </w:rPr>
        <w:t xml:space="preserve">del taller de matemática y después del taller,  con 40 preguntas  en cada prueba, haciendo un estudio comparativo de resultados; se recopiló dicha información necesaria de estudiantes de tercero de bachillerato para comprobar </w:t>
      </w:r>
      <w:r>
        <w:rPr>
          <w:rFonts w:ascii="Times New Roman" w:hAnsi="Times New Roman" w:cs="Times New Roman"/>
          <w:sz w:val="24"/>
          <w:szCs w:val="24"/>
          <w:lang w:eastAsia="es-ES"/>
        </w:rPr>
        <w:lastRenderedPageBreak/>
        <w:t>posteriormente con los resulta</w:t>
      </w:r>
      <w:r>
        <w:rPr>
          <w:rFonts w:ascii="Times New Roman" w:hAnsi="Times New Roman" w:cs="Times New Roman"/>
          <w:sz w:val="24"/>
          <w:szCs w:val="24"/>
          <w:lang w:eastAsia="es-ES"/>
        </w:rPr>
        <w:t xml:space="preserve">dos obtenidos de la prueba “Ser Bachiller” el impacto que se obtuvo con el taller de matemática, excluyendo al resto de estudiantes de las respectivas unidades educativas por no formar parte de la prueba en mención. </w:t>
      </w:r>
    </w:p>
    <w:p w:rsidR="00533D24" w:rsidRDefault="00AB39C4">
      <w:pPr>
        <w:tabs>
          <w:tab w:val="left" w:pos="2415"/>
          <w:tab w:val="left" w:pos="8222"/>
        </w:tabs>
        <w:spacing w:after="24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Los autores declaran no tener conflicto</w:t>
      </w:r>
      <w:r>
        <w:rPr>
          <w:rFonts w:ascii="Times New Roman" w:hAnsi="Times New Roman" w:cs="Times New Roman"/>
          <w:sz w:val="24"/>
          <w:szCs w:val="24"/>
          <w:lang w:eastAsia="es-ES"/>
        </w:rPr>
        <w:t xml:space="preserve">s e intereses en el proceso de la investigación; los aspectos éticos estimados en la investigación fueron la discrecionalidad en los datos, el manejo de la información y validación de los instrumentos. </w:t>
      </w:r>
    </w:p>
    <w:p w:rsidR="00533D24" w:rsidRDefault="00AB39C4">
      <w:pPr>
        <w:spacing w:after="240" w:line="360" w:lineRule="auto"/>
        <w:ind w:left="142" w:hanging="142"/>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Resultados</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Del universo de estudiantes que formaron p</w:t>
      </w:r>
      <w:r>
        <w:rPr>
          <w:rFonts w:ascii="Times New Roman" w:hAnsi="Times New Roman" w:cs="Times New Roman"/>
          <w:sz w:val="24"/>
          <w:szCs w:val="24"/>
          <w:lang w:val="es-ES_tradnl"/>
        </w:rPr>
        <w:t>arte del taller de matemática para obtener mejores resultados en la prueba “Ser Bachiller”, los resultados obtenidos se presentan en la tabla 1.</w:t>
      </w:r>
    </w:p>
    <w:tbl>
      <w:tblPr>
        <w:tblW w:w="7364" w:type="dxa"/>
        <w:jc w:val="center"/>
        <w:tblLayout w:type="fixed"/>
        <w:tblLook w:val="04A0" w:firstRow="1" w:lastRow="0" w:firstColumn="1" w:lastColumn="0" w:noHBand="0" w:noVBand="1"/>
      </w:tblPr>
      <w:tblGrid>
        <w:gridCol w:w="1019"/>
        <w:gridCol w:w="1648"/>
        <w:gridCol w:w="1576"/>
        <w:gridCol w:w="1590"/>
        <w:gridCol w:w="1531"/>
      </w:tblGrid>
      <w:tr w:rsidR="00533D24">
        <w:trPr>
          <w:trHeight w:val="20"/>
          <w:jc w:val="center"/>
        </w:trPr>
        <w:tc>
          <w:tcPr>
            <w:tcW w:w="1019" w:type="dxa"/>
            <w:vMerge w:val="restart"/>
            <w:tcBorders>
              <w:top w:val="single" w:sz="2" w:space="0" w:color="000000"/>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Puntaje</w:t>
            </w:r>
            <w:proofErr w:type="spellEnd"/>
          </w:p>
        </w:tc>
        <w:tc>
          <w:tcPr>
            <w:tcW w:w="3224" w:type="dxa"/>
            <w:gridSpan w:val="2"/>
            <w:tcBorders>
              <w:top w:val="single" w:sz="2" w:space="0" w:color="000000"/>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Prueba</w:t>
            </w:r>
            <w:proofErr w:type="spellEnd"/>
            <w:r>
              <w:rPr>
                <w:rFonts w:ascii="Times New Roman" w:eastAsia="Times New Roman" w:hAnsi="Times New Roman" w:cs="Times New Roman"/>
                <w:color w:val="000000"/>
                <w:sz w:val="24"/>
                <w:szCs w:val="24"/>
                <w:lang w:val="en-US"/>
              </w:rPr>
              <w:t xml:space="preserve"> de </w:t>
            </w:r>
            <w:proofErr w:type="spellStart"/>
            <w:r>
              <w:rPr>
                <w:rFonts w:ascii="Times New Roman" w:eastAsia="Times New Roman" w:hAnsi="Times New Roman" w:cs="Times New Roman"/>
                <w:color w:val="000000"/>
                <w:sz w:val="24"/>
                <w:szCs w:val="24"/>
                <w:lang w:val="en-US"/>
              </w:rPr>
              <w:t>diagnóstico</w:t>
            </w:r>
            <w:proofErr w:type="spellEnd"/>
          </w:p>
        </w:tc>
        <w:tc>
          <w:tcPr>
            <w:tcW w:w="3121" w:type="dxa"/>
            <w:gridSpan w:val="2"/>
            <w:tcBorders>
              <w:top w:val="single" w:sz="2" w:space="0" w:color="000000"/>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Prueba</w:t>
            </w:r>
            <w:proofErr w:type="spellEnd"/>
            <w:r>
              <w:rPr>
                <w:rFonts w:ascii="Times New Roman" w:eastAsia="Times New Roman" w:hAnsi="Times New Roman" w:cs="Times New Roman"/>
                <w:color w:val="000000"/>
                <w:sz w:val="24"/>
                <w:szCs w:val="24"/>
                <w:lang w:val="en-US"/>
              </w:rPr>
              <w:t xml:space="preserve"> final</w:t>
            </w:r>
          </w:p>
        </w:tc>
      </w:tr>
      <w:tr w:rsidR="00533D24">
        <w:trPr>
          <w:jc w:val="center"/>
        </w:trPr>
        <w:tc>
          <w:tcPr>
            <w:tcW w:w="1019" w:type="dxa"/>
            <w:vMerge/>
            <w:tcBorders>
              <w:left w:val="single" w:sz="2" w:space="0" w:color="000000"/>
              <w:bottom w:val="single" w:sz="2" w:space="0" w:color="000000"/>
            </w:tcBorders>
            <w:vAlign w:val="center"/>
          </w:tcPr>
          <w:p w:rsidR="00533D24" w:rsidRDefault="00533D24">
            <w:pPr>
              <w:widowControl w:val="0"/>
              <w:spacing w:after="0" w:line="240" w:lineRule="auto"/>
              <w:rPr>
                <w:rFonts w:ascii="Times New Roman" w:eastAsia="Times New Roman" w:hAnsi="Times New Roman" w:cs="Times New Roman"/>
                <w:bCs/>
                <w:color w:val="000000"/>
                <w:sz w:val="24"/>
                <w:szCs w:val="24"/>
                <w:lang w:val="en-US"/>
              </w:rPr>
            </w:pP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Nr. </w:t>
            </w:r>
            <w:proofErr w:type="spellStart"/>
            <w:r>
              <w:rPr>
                <w:rFonts w:ascii="Times New Roman" w:eastAsia="Times New Roman" w:hAnsi="Times New Roman" w:cs="Times New Roman"/>
                <w:bCs/>
                <w:color w:val="000000"/>
                <w:sz w:val="24"/>
                <w:szCs w:val="24"/>
                <w:lang w:val="en-US"/>
              </w:rPr>
              <w:t>estudiantes</w:t>
            </w:r>
            <w:proofErr w:type="spellEnd"/>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proofErr w:type="spellStart"/>
            <w:r>
              <w:rPr>
                <w:rFonts w:ascii="Times New Roman" w:eastAsia="Times New Roman" w:hAnsi="Times New Roman" w:cs="Times New Roman"/>
                <w:bCs/>
                <w:color w:val="000000"/>
                <w:sz w:val="24"/>
                <w:szCs w:val="24"/>
                <w:lang w:val="en-US"/>
              </w:rPr>
              <w:t>Porcentaje</w:t>
            </w:r>
            <w:proofErr w:type="spellEnd"/>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Nr. </w:t>
            </w:r>
            <w:proofErr w:type="spellStart"/>
            <w:r>
              <w:rPr>
                <w:rFonts w:ascii="Times New Roman" w:eastAsia="Times New Roman" w:hAnsi="Times New Roman" w:cs="Times New Roman"/>
                <w:bCs/>
                <w:color w:val="000000"/>
                <w:sz w:val="24"/>
                <w:szCs w:val="24"/>
                <w:lang w:val="en-US"/>
              </w:rPr>
              <w:t>estudientes</w:t>
            </w:r>
            <w:proofErr w:type="spellEnd"/>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proofErr w:type="spellStart"/>
            <w:r>
              <w:rPr>
                <w:rFonts w:ascii="Times New Roman" w:eastAsia="Times New Roman" w:hAnsi="Times New Roman" w:cs="Times New Roman"/>
                <w:bCs/>
                <w:color w:val="000000"/>
                <w:sz w:val="24"/>
                <w:szCs w:val="24"/>
                <w:lang w:val="en-US"/>
              </w:rPr>
              <w:t>Porcentaje</w:t>
            </w:r>
            <w:proofErr w:type="spellEnd"/>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35</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27.34</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23.44</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5.47</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4.69</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7.81</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7.81</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23.44</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5.47</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14.06</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8.59</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29</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22.66</w:t>
            </w:r>
          </w:p>
        </w:tc>
      </w:tr>
      <w:tr w:rsidR="00533D24">
        <w:trPr>
          <w:trHeight w:val="20"/>
          <w:jc w:val="center"/>
        </w:trPr>
        <w:tc>
          <w:tcPr>
            <w:tcW w:w="1019"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17.19</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41</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32.03</w:t>
            </w:r>
          </w:p>
        </w:tc>
      </w:tr>
      <w:tr w:rsidR="00533D24">
        <w:trPr>
          <w:trHeight w:val="20"/>
          <w:jc w:val="center"/>
        </w:trPr>
        <w:tc>
          <w:tcPr>
            <w:tcW w:w="1019" w:type="dxa"/>
            <w:tcBorders>
              <w:left w:val="single" w:sz="2" w:space="0" w:color="000000"/>
              <w:bottom w:val="single" w:sz="2" w:space="0" w:color="000000"/>
            </w:tcBorders>
            <w:vAlign w:val="center"/>
          </w:tcPr>
          <w:p w:rsidR="00533D24" w:rsidRDefault="00533D24">
            <w:pPr>
              <w:widowControl w:val="0"/>
              <w:spacing w:after="0" w:line="240" w:lineRule="auto"/>
              <w:rPr>
                <w:rFonts w:ascii="Times New Roman" w:eastAsia="Times New Roman" w:hAnsi="Times New Roman" w:cs="Times New Roman"/>
                <w:color w:val="000000"/>
                <w:sz w:val="24"/>
                <w:szCs w:val="24"/>
                <w:lang w:val="en-US"/>
              </w:rPr>
            </w:pPr>
          </w:p>
        </w:tc>
        <w:tc>
          <w:tcPr>
            <w:tcW w:w="1648"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128</w:t>
            </w:r>
          </w:p>
        </w:tc>
        <w:tc>
          <w:tcPr>
            <w:tcW w:w="1576"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100.0</w:t>
            </w:r>
          </w:p>
        </w:tc>
        <w:tc>
          <w:tcPr>
            <w:tcW w:w="1590" w:type="dxa"/>
            <w:tcBorders>
              <w:left w:val="single" w:sz="2" w:space="0" w:color="000000"/>
              <w:bottom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128</w:t>
            </w:r>
          </w:p>
        </w:tc>
        <w:tc>
          <w:tcPr>
            <w:tcW w:w="1531" w:type="dxa"/>
            <w:tcBorders>
              <w:left w:val="single" w:sz="2" w:space="0" w:color="000000"/>
              <w:bottom w:val="single" w:sz="2" w:space="0" w:color="000000"/>
              <w:right w:val="single" w:sz="2" w:space="0" w:color="000000"/>
            </w:tcBorders>
            <w:vAlign w:val="center"/>
          </w:tcPr>
          <w:p w:rsidR="00533D24" w:rsidRDefault="00AB39C4">
            <w:pPr>
              <w:widowControl w:val="0"/>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100.0</w:t>
            </w:r>
          </w:p>
        </w:tc>
      </w:tr>
    </w:tbl>
    <w:p w:rsidR="00533D24" w:rsidRDefault="00AB39C4">
      <w:pPr>
        <w:spacing w:line="360" w:lineRule="auto"/>
        <w:ind w:left="142" w:hanging="142"/>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Tabla 1.</w:t>
      </w:r>
      <w:r>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Resultado de las dos pruebas desarrolladas por los 128 estudiantes</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prueba de diagnóstico  con un valor de 10 puntos realizada a 128 estudiantes de dos unidades educativas revela que: 35 estudiantes que corresponde al 27.34% obtuvieron tres puntos, cuatro puntos alcanzaron 30 estudiantes que pertenece al 23.44%, con el </w:t>
      </w:r>
      <w:r>
        <w:rPr>
          <w:rFonts w:ascii="Times New Roman" w:hAnsi="Times New Roman" w:cs="Times New Roman"/>
          <w:sz w:val="24"/>
          <w:szCs w:val="24"/>
          <w:lang w:val="es-ES_tradnl"/>
        </w:rPr>
        <w:t>5.47% siete estudiantes consiguieron cinco puntos, seis puntos fue la calificación de seis estudiantes que equivale al 4.69%, con el 7.81% de un total de 10 estudiantes sacaron la nota mínima de siete puntos, ocho puntos lograron siete estudiantes esto con</w:t>
      </w:r>
      <w:r>
        <w:rPr>
          <w:rFonts w:ascii="Times New Roman" w:hAnsi="Times New Roman" w:cs="Times New Roman"/>
          <w:sz w:val="24"/>
          <w:szCs w:val="24"/>
          <w:lang w:val="es-ES_tradnl"/>
        </w:rPr>
        <w:t xml:space="preserve">duce al 5.47%, 11 estudiantes representado por el 8.59% adquirieron la nota de nueve puntos, y 10 puntos en 22 estudiantes con un porcentaje de 17.19%.  </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lo concerniente a la prueba final ejecutada después del taller de matemática nos proyecta lo siguie</w:t>
      </w:r>
      <w:r>
        <w:rPr>
          <w:rFonts w:ascii="Times New Roman" w:hAnsi="Times New Roman" w:cs="Times New Roman"/>
          <w:sz w:val="24"/>
          <w:szCs w:val="24"/>
          <w:lang w:val="es-ES_tradnl"/>
        </w:rPr>
        <w:t xml:space="preserve">nte: con el 7.81% 10 estudiantes no llegaron a la nota mínima, es decir obtuvieron seis </w:t>
      </w:r>
      <w:r>
        <w:rPr>
          <w:rFonts w:ascii="Times New Roman" w:hAnsi="Times New Roman" w:cs="Times New Roman"/>
          <w:sz w:val="24"/>
          <w:szCs w:val="24"/>
          <w:lang w:val="es-ES_tradnl"/>
        </w:rPr>
        <w:lastRenderedPageBreak/>
        <w:t>puntos, 30 estudiantes con el 23.44% sacaron siete puntos, ocho puntos pudieron conseguir 18 estudiantes que atribuye al 14.06%, con el 22.66% 29 estudiantes lograron n</w:t>
      </w:r>
      <w:r>
        <w:rPr>
          <w:rFonts w:ascii="Times New Roman" w:hAnsi="Times New Roman" w:cs="Times New Roman"/>
          <w:sz w:val="24"/>
          <w:szCs w:val="24"/>
          <w:lang w:val="es-ES_tradnl"/>
        </w:rPr>
        <w:t>ueve puntos y, la calificación más alta de 10 puntos la adquirieron 41 estudiantes que corresponde al 32.03%.</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 </w:t>
      </w:r>
      <w:proofErr w:type="spellStart"/>
      <w:r>
        <w:rPr>
          <w:rFonts w:ascii="Times New Roman" w:hAnsi="Times New Roman" w:cs="Times New Roman"/>
          <w:sz w:val="24"/>
          <w:szCs w:val="24"/>
          <w:lang w:val="es-ES_tradnl"/>
        </w:rPr>
        <w:t>comporar</w:t>
      </w:r>
      <w:proofErr w:type="spellEnd"/>
      <w:r>
        <w:rPr>
          <w:rFonts w:ascii="Times New Roman" w:hAnsi="Times New Roman" w:cs="Times New Roman"/>
          <w:sz w:val="24"/>
          <w:szCs w:val="24"/>
          <w:lang w:val="es-ES_tradnl"/>
        </w:rPr>
        <w:t xml:space="preserve"> el número de estudiantes que dieron la prueba de diagnóstico con el número de estudiantes que dieron la prueba final se logra verifica</w:t>
      </w:r>
      <w:r>
        <w:rPr>
          <w:rFonts w:ascii="Times New Roman" w:hAnsi="Times New Roman" w:cs="Times New Roman"/>
          <w:sz w:val="24"/>
          <w:szCs w:val="24"/>
          <w:lang w:val="es-ES_tradnl"/>
        </w:rPr>
        <w:t>r el aumento de estudiantes con mejores puntajes en la prueba final; haciendo relevancia a partir de los siete puntos se puede observar un incremento del 15.63% que corresponde a 20 estudiantes; de igual manera quienes lograron ocho puntos representado por</w:t>
      </w:r>
      <w:r>
        <w:rPr>
          <w:rFonts w:ascii="Times New Roman" w:hAnsi="Times New Roman" w:cs="Times New Roman"/>
          <w:sz w:val="24"/>
          <w:szCs w:val="24"/>
          <w:lang w:val="es-ES_tradnl"/>
        </w:rPr>
        <w:t xml:space="preserve"> 11 estudiantes alcanzan un 8.59%; 18 estudiantes con el 14.07% adquieren nueve puntos; y con un porcentaje muy similar es decir el 14.84% 19 estudiantes sacan 10 puntos.</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 relación a la prueba “Ser Bachiller” los 128 estudiantes que recibieron el taller</w:t>
      </w:r>
      <w:r>
        <w:rPr>
          <w:rFonts w:ascii="Times New Roman" w:hAnsi="Times New Roman" w:cs="Times New Roman"/>
          <w:sz w:val="24"/>
          <w:szCs w:val="24"/>
          <w:lang w:val="es-ES_tradnl"/>
        </w:rPr>
        <w:t xml:space="preserve"> de matemática orientados al campo disciplinario de: lógica, geometría, trigonometría, números reales, relaciones y funciones, 91 estudiantes obtuvieron un cupo para el acceso a la educación superior es decir el 71.09%, de este grupo aprobado solo 38 estud</w:t>
      </w:r>
      <w:r>
        <w:rPr>
          <w:rFonts w:ascii="Times New Roman" w:hAnsi="Times New Roman" w:cs="Times New Roman"/>
          <w:sz w:val="24"/>
          <w:szCs w:val="24"/>
          <w:lang w:val="es-ES_tradnl"/>
        </w:rPr>
        <w:t>iantes con el 41.75% deciden cursar el primer nivel en la educación superior pública.</w:t>
      </w:r>
    </w:p>
    <w:p w:rsidR="00533D24" w:rsidRDefault="00AB39C4">
      <w:pPr>
        <w:spacing w:after="24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Discusión</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taller de matemática permite la concreción para promover, fortalecer los conocimientos y habilidades matemáticas, tanto de los docentes como de los estudiant</w:t>
      </w:r>
      <w:r>
        <w:rPr>
          <w:rFonts w:ascii="Times New Roman" w:hAnsi="Times New Roman" w:cs="Times New Roman"/>
          <w:sz w:val="24"/>
          <w:szCs w:val="24"/>
          <w:lang w:val="es-ES_tradnl"/>
        </w:rPr>
        <w:t>es de tercero de bachillerato. (</w:t>
      </w:r>
      <w:proofErr w:type="spellStart"/>
      <w:r>
        <w:rPr>
          <w:rFonts w:ascii="Times New Roman" w:hAnsi="Times New Roman" w:cs="Times New Roman"/>
          <w:sz w:val="24"/>
          <w:szCs w:val="24"/>
          <w:lang w:val="es-ES_tradnl"/>
        </w:rPr>
        <w:t>Felmer</w:t>
      </w:r>
      <w:proofErr w:type="spellEnd"/>
      <w:r>
        <w:rPr>
          <w:rFonts w:ascii="Times New Roman" w:hAnsi="Times New Roman" w:cs="Times New Roman"/>
          <w:sz w:val="24"/>
          <w:szCs w:val="24"/>
          <w:lang w:val="es-ES_tradnl"/>
        </w:rPr>
        <w:t xml:space="preserve"> &amp; Perdomo-Díaz, 2017). En la actualidad la prueba “Ser Bachiller” requiere de cuantiosa preparación matemática basada en álgebra, geometría y probabilidad, por ello los 128 estudiantes de tercero de bachillerato de la</w:t>
      </w:r>
      <w:r>
        <w:rPr>
          <w:rFonts w:ascii="Times New Roman" w:hAnsi="Times New Roman" w:cs="Times New Roman"/>
          <w:sz w:val="24"/>
          <w:szCs w:val="24"/>
          <w:lang w:val="es-ES_tradnl"/>
        </w:rPr>
        <w:t xml:space="preserve">s unidades educativas de la zona rural del cantón Santa Ana al recibir el taller de matemática optimizaron las habilidades matemáticas. </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este sentido dado la importancia del taller de matemática autores como Morales, García, Torres, &amp; Lebrija (2018), ap</w:t>
      </w:r>
      <w:r>
        <w:rPr>
          <w:rFonts w:ascii="Times New Roman" w:hAnsi="Times New Roman" w:cs="Times New Roman"/>
          <w:sz w:val="24"/>
          <w:szCs w:val="24"/>
          <w:lang w:val="es-ES_tradnl"/>
        </w:rPr>
        <w:t>ortaron que la práctica educativa es la que permite estar atento al potencial que genera el aprendizaje matemático del intercambio y construcción de conocimientos significativos y representativos para el estudiante, involucrando ambientes positivos y propi</w:t>
      </w:r>
      <w:r>
        <w:rPr>
          <w:rFonts w:ascii="Times New Roman" w:hAnsi="Times New Roman" w:cs="Times New Roman"/>
          <w:sz w:val="24"/>
          <w:szCs w:val="24"/>
          <w:lang w:val="es-ES_tradnl"/>
        </w:rPr>
        <w:t xml:space="preserve">cios para un proceso de enseñanza aprendizaje. </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su parte </w:t>
      </w:r>
      <w:proofErr w:type="spellStart"/>
      <w:r>
        <w:rPr>
          <w:rFonts w:ascii="Times New Roman" w:hAnsi="Times New Roman" w:cs="Times New Roman"/>
          <w:sz w:val="24"/>
          <w:szCs w:val="24"/>
          <w:lang w:val="es-ES_tradnl"/>
        </w:rPr>
        <w:t>Nuñez</w:t>
      </w:r>
      <w:proofErr w:type="spellEnd"/>
      <w:r>
        <w:rPr>
          <w:rFonts w:ascii="Times New Roman" w:hAnsi="Times New Roman" w:cs="Times New Roman"/>
          <w:sz w:val="24"/>
          <w:szCs w:val="24"/>
          <w:lang w:val="es-ES_tradnl"/>
        </w:rPr>
        <w:t xml:space="preserve"> &amp; </w:t>
      </w:r>
      <w:proofErr w:type="spellStart"/>
      <w:r>
        <w:rPr>
          <w:rFonts w:ascii="Times New Roman" w:hAnsi="Times New Roman" w:cs="Times New Roman"/>
          <w:sz w:val="24"/>
          <w:szCs w:val="24"/>
          <w:lang w:val="es-ES_tradnl"/>
        </w:rPr>
        <w:t>Helí</w:t>
      </w:r>
      <w:proofErr w:type="spellEnd"/>
      <w:r>
        <w:rPr>
          <w:rFonts w:ascii="Times New Roman" w:hAnsi="Times New Roman" w:cs="Times New Roman"/>
          <w:sz w:val="24"/>
          <w:szCs w:val="24"/>
          <w:lang w:val="es-ES_tradnl"/>
        </w:rPr>
        <w:t xml:space="preserve"> (2018), plantean que los docentes de matemática deben emplear estrategias como talleres, formar grupos de inter-aprendizaje, siendo monitoreados </w:t>
      </w:r>
      <w:r>
        <w:rPr>
          <w:rFonts w:ascii="Times New Roman" w:hAnsi="Times New Roman" w:cs="Times New Roman"/>
          <w:sz w:val="24"/>
          <w:szCs w:val="24"/>
          <w:lang w:val="es-ES_tradnl"/>
        </w:rPr>
        <w:lastRenderedPageBreak/>
        <w:t>secuencialmente por directivos para q</w:t>
      </w:r>
      <w:r>
        <w:rPr>
          <w:rFonts w:ascii="Times New Roman" w:hAnsi="Times New Roman" w:cs="Times New Roman"/>
          <w:sz w:val="24"/>
          <w:szCs w:val="24"/>
          <w:lang w:val="es-ES_tradnl"/>
        </w:rPr>
        <w:t>ue todos los representantes educativos participen sean estos docentes y estudiantes y, así lograr un proceso de enseñanza-aprendizaje para enaltecer el rendimiento académico.</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Autores como Sobrado, </w:t>
      </w:r>
      <w:proofErr w:type="spellStart"/>
      <w:r>
        <w:rPr>
          <w:rFonts w:ascii="Times New Roman" w:hAnsi="Times New Roman" w:cs="Times New Roman"/>
          <w:sz w:val="24"/>
          <w:szCs w:val="24"/>
          <w:lang w:val="es-ES_tradnl"/>
        </w:rPr>
        <w:t>Sarduy</w:t>
      </w:r>
      <w:proofErr w:type="spellEnd"/>
      <w:r>
        <w:rPr>
          <w:rFonts w:ascii="Times New Roman" w:hAnsi="Times New Roman" w:cs="Times New Roman"/>
          <w:sz w:val="24"/>
          <w:szCs w:val="24"/>
          <w:lang w:val="es-ES_tradnl"/>
        </w:rPr>
        <w:t xml:space="preserve">, &amp; </w:t>
      </w:r>
      <w:proofErr w:type="spellStart"/>
      <w:r>
        <w:rPr>
          <w:rFonts w:ascii="Times New Roman" w:hAnsi="Times New Roman" w:cs="Times New Roman"/>
          <w:sz w:val="24"/>
          <w:szCs w:val="24"/>
          <w:lang w:val="es-ES_tradnl"/>
        </w:rPr>
        <w:t>Espindola</w:t>
      </w:r>
      <w:proofErr w:type="spellEnd"/>
      <w:r>
        <w:rPr>
          <w:rFonts w:ascii="Times New Roman" w:hAnsi="Times New Roman" w:cs="Times New Roman"/>
          <w:sz w:val="24"/>
          <w:szCs w:val="24"/>
          <w:lang w:val="es-ES_tradnl"/>
        </w:rPr>
        <w:t xml:space="preserve"> (2018), mencionan sobre diversos método</w:t>
      </w:r>
      <w:r>
        <w:rPr>
          <w:rFonts w:ascii="Times New Roman" w:hAnsi="Times New Roman" w:cs="Times New Roman"/>
          <w:sz w:val="24"/>
          <w:szCs w:val="24"/>
          <w:lang w:val="es-ES_tradnl"/>
        </w:rPr>
        <w:t xml:space="preserve">s teóricos y postulados relacionados con la comunicación en matemática, que se deben emplear para diseñar estrategias y actividades en el proceso de enseñanza-aprendizaje implicando talleres y otros para mejorar los conocimientos matemáticos, la misma que </w:t>
      </w:r>
      <w:r>
        <w:rPr>
          <w:rFonts w:ascii="Times New Roman" w:hAnsi="Times New Roman" w:cs="Times New Roman"/>
          <w:sz w:val="24"/>
          <w:szCs w:val="24"/>
          <w:lang w:val="es-ES_tradnl"/>
        </w:rPr>
        <w:t>juega un rol fundamental en los resultados de la prueba “Ser Bachiller”.</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investigación se ajusta a lo proyectado por Linares Cabrera (2017) el que en sus estudios y propuestas demuestra que las técnicas y otros como talleres influye significativamente e</w:t>
      </w:r>
      <w:r>
        <w:rPr>
          <w:rFonts w:ascii="Times New Roman" w:hAnsi="Times New Roman" w:cs="Times New Roman"/>
          <w:sz w:val="24"/>
          <w:szCs w:val="24"/>
          <w:lang w:val="es-ES_tradnl"/>
        </w:rPr>
        <w:t>n el proceso de enseñanza-aprendizaje, encaminados hacia el dominio de matemática, a la organización de la clase, sin descuidar los resultados de la prueba “Ser Bachiller”.</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Comparto el criterio de Bravo (2019), al puntualizar que los estudiantes para tener</w:t>
      </w:r>
      <w:r>
        <w:rPr>
          <w:rFonts w:ascii="Times New Roman" w:hAnsi="Times New Roman" w:cs="Times New Roman"/>
          <w:sz w:val="24"/>
          <w:szCs w:val="24"/>
          <w:lang w:val="es-ES_tradnl"/>
        </w:rPr>
        <w:t xml:space="preserve"> éxito en la prueba “Ser Bachiller” y así lograr un cupo en la educación superior, los docentes deben contar con estrategias y estar actualizados permanentemente durante el proceso de enseñanza-aprendizaje que le brindan a los estudiantes.</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resultado obt</w:t>
      </w:r>
      <w:r>
        <w:rPr>
          <w:rFonts w:ascii="Times New Roman" w:hAnsi="Times New Roman" w:cs="Times New Roman"/>
          <w:sz w:val="24"/>
          <w:szCs w:val="24"/>
          <w:lang w:val="es-ES_tradnl"/>
        </w:rPr>
        <w:t>enido en la prueba “Ser Bachiller” no se ve reflejado únicamente en los estudiantes sino también en los responsables directos de las unidades educativas, estando en igual de condiciones tomando en consideración un proceso de enseñanza-aprendizaje enmarcado</w:t>
      </w:r>
      <w:r>
        <w:rPr>
          <w:rFonts w:ascii="Times New Roman" w:hAnsi="Times New Roman" w:cs="Times New Roman"/>
          <w:sz w:val="24"/>
          <w:szCs w:val="24"/>
          <w:lang w:val="es-ES_tradnl"/>
        </w:rPr>
        <w:t xml:space="preserve"> en un logro académico no satisfactorio así como lo aseveran  (Mejía, Menéndez, Camatón, &amp; Torres, 2018).</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Resulta interesante el razonamiento de Figueroa (2019)  y defiero al determinar que el currículo de matemática es parcialmente evaluado y que repercut</w:t>
      </w:r>
      <w:r>
        <w:rPr>
          <w:rFonts w:ascii="Times New Roman" w:hAnsi="Times New Roman" w:cs="Times New Roman"/>
          <w:sz w:val="24"/>
          <w:szCs w:val="24"/>
          <w:lang w:val="es-ES_tradnl"/>
        </w:rPr>
        <w:t>e en el proceso de enseñanza-aprendizaje generando, una débil demanda cognitiva siendo exteriorizado en los resultados  de la prueba “Ser Bachiller” lo que denota que al impartir el taller de matemática a los estudiantes de tercero de bachillerato de la zo</w:t>
      </w:r>
      <w:r>
        <w:rPr>
          <w:rFonts w:ascii="Times New Roman" w:hAnsi="Times New Roman" w:cs="Times New Roman"/>
          <w:sz w:val="24"/>
          <w:szCs w:val="24"/>
          <w:lang w:val="es-ES_tradnl"/>
        </w:rPr>
        <w:t>na rural se promueve un mejor dominio matemático, preparándolos para la vida adulta, la participación en una sociedad democrática, en el mundo laboral y el emprendimiento así también para poder continuar con sus estudios superiores.</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De los resultados obten</w:t>
      </w:r>
      <w:r>
        <w:rPr>
          <w:rFonts w:ascii="Times New Roman" w:hAnsi="Times New Roman" w:cs="Times New Roman"/>
          <w:sz w:val="24"/>
          <w:szCs w:val="24"/>
          <w:lang w:val="es-ES_tradnl"/>
        </w:rPr>
        <w:t>idos los 128 estudiantes de tercero de bachillerato de las dos unidades educativas de la zona rural del cantón Santa Ana han sido garante de un logro exitoso y mostraron ante la investigación un eminente dominio matemático sobresaliendo 91 estudiantes en l</w:t>
      </w:r>
      <w:r>
        <w:rPr>
          <w:rFonts w:ascii="Times New Roman" w:hAnsi="Times New Roman" w:cs="Times New Roman"/>
          <w:sz w:val="24"/>
          <w:szCs w:val="24"/>
          <w:lang w:val="es-ES_tradnl"/>
        </w:rPr>
        <w:t>a prueba “Ser Bachiller” y así obtener un cupo para ingresar a la educación superior mejorando el perfeccionamiento en el proceso de enseñanza-aprendizaje, con el fin de resolver eficazmente problemas para aplicar en la vida práctica y cotidiana los aprend</w:t>
      </w:r>
      <w:r>
        <w:rPr>
          <w:rFonts w:ascii="Times New Roman" w:hAnsi="Times New Roman" w:cs="Times New Roman"/>
          <w:sz w:val="24"/>
          <w:szCs w:val="24"/>
          <w:lang w:val="es-ES_tradnl"/>
        </w:rPr>
        <w:t xml:space="preserve">izajes matemáticos de </w:t>
      </w:r>
      <w:proofErr w:type="spellStart"/>
      <w:r>
        <w:rPr>
          <w:rFonts w:ascii="Times New Roman" w:hAnsi="Times New Roman" w:cs="Times New Roman"/>
          <w:sz w:val="24"/>
          <w:szCs w:val="24"/>
          <w:lang w:val="es-ES_tradnl"/>
        </w:rPr>
        <w:t>metacognición</w:t>
      </w:r>
      <w:proofErr w:type="spellEnd"/>
      <w:r>
        <w:rPr>
          <w:rFonts w:ascii="Times New Roman" w:hAnsi="Times New Roman" w:cs="Times New Roman"/>
          <w:sz w:val="24"/>
          <w:szCs w:val="24"/>
          <w:lang w:val="es-ES_tradnl"/>
        </w:rPr>
        <w:t>.</w:t>
      </w:r>
    </w:p>
    <w:p w:rsidR="00533D24" w:rsidRDefault="00AB39C4">
      <w:pPr>
        <w:spacing w:after="24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Conclusiones</w:t>
      </w:r>
    </w:p>
    <w:p w:rsidR="00533D24" w:rsidRDefault="00AB39C4">
      <w:pPr>
        <w:spacing w:after="240" w:line="360" w:lineRule="auto"/>
        <w:jc w:val="both"/>
        <w:rPr>
          <w:rFonts w:ascii="Times New Roman" w:hAnsi="Times New Roman" w:cs="Times New Roman"/>
          <w:b/>
          <w:sz w:val="24"/>
          <w:szCs w:val="24"/>
          <w:lang w:val="es-ES_tradnl"/>
        </w:rPr>
      </w:pPr>
      <w:r>
        <w:rPr>
          <w:rFonts w:ascii="Times New Roman" w:hAnsi="Times New Roman" w:cs="Times New Roman"/>
          <w:sz w:val="24"/>
          <w:szCs w:val="24"/>
          <w:lang w:val="es-ES_tradnl"/>
        </w:rPr>
        <w:t>El taller de matemática es un espacio que coadyuva en el proceso de enseñanza-aprendizaje de los estudiantes de tercero de bachillerato de las dos unidades educativas de la zona rural del cantón Santa Ana d</w:t>
      </w:r>
      <w:r>
        <w:rPr>
          <w:rFonts w:ascii="Times New Roman" w:hAnsi="Times New Roman" w:cs="Times New Roman"/>
          <w:sz w:val="24"/>
          <w:szCs w:val="24"/>
          <w:lang w:val="es-ES_tradnl"/>
        </w:rPr>
        <w:t>e la Provincia de Manabí, para mejorar el dominio matemático y no ser parte de la deserción escolar; si bien es cierto existe un divorcio entre la educación superior y el nivel medio, que resulta un fuerte impacto para los estudiantes al ingresar a la educ</w:t>
      </w:r>
      <w:r>
        <w:rPr>
          <w:rFonts w:ascii="Times New Roman" w:hAnsi="Times New Roman" w:cs="Times New Roman"/>
          <w:sz w:val="24"/>
          <w:szCs w:val="24"/>
          <w:lang w:val="es-ES_tradnl"/>
        </w:rPr>
        <w:t>ación superior por los insuficientes procesos de enseñanza-aprendizaje que han adquirido sobre todo los estudiantes de la zona rural.</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Sin lugar a duda el proceso de enseñanza-aprendizaje de la matemática es esencial y se han encontrado tanto por ciento de </w:t>
      </w:r>
      <w:r>
        <w:rPr>
          <w:rFonts w:ascii="Times New Roman" w:hAnsi="Times New Roman" w:cs="Times New Roman"/>
          <w:sz w:val="24"/>
          <w:szCs w:val="24"/>
          <w:lang w:val="es-ES_tradnl"/>
        </w:rPr>
        <w:t>estudiantes con dificultades, pero los hallazgos se hacen relevante al sacar a la luz que los docentes también tienen dificultades al no encontrar mecanismos adecuados para brindar una educación de calidad por carencia de formación pedagógica.</w:t>
      </w:r>
    </w:p>
    <w:p w:rsidR="00533D24" w:rsidRDefault="00AB39C4">
      <w:pPr>
        <w:spacing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 la aplic</w:t>
      </w:r>
      <w:r>
        <w:rPr>
          <w:rFonts w:ascii="Times New Roman" w:hAnsi="Times New Roman" w:cs="Times New Roman"/>
          <w:sz w:val="24"/>
          <w:szCs w:val="24"/>
          <w:lang w:val="es-ES_tradnl"/>
        </w:rPr>
        <w:t>ación del taller de matemática se determinó el impacto en los resultados de la prueba “Ser Bachiller” donde se develó que el 71.09%, de los 128 estudiantes de tercero de bachillerato de las dos unidades educativas de la zona rural del cantón Santa Ana de l</w:t>
      </w:r>
      <w:r>
        <w:rPr>
          <w:rFonts w:ascii="Times New Roman" w:hAnsi="Times New Roman" w:cs="Times New Roman"/>
          <w:sz w:val="24"/>
          <w:szCs w:val="24"/>
          <w:lang w:val="es-ES_tradnl"/>
        </w:rPr>
        <w:t>a Provincia de Manabí obtuvieron un cupo para el ingreso a la educación superior.</w:t>
      </w:r>
    </w:p>
    <w:p w:rsidR="00533D24" w:rsidRDefault="00AB39C4">
      <w:pPr>
        <w:pStyle w:val="Ttulo1"/>
        <w:spacing w:after="240" w:line="360" w:lineRule="auto"/>
        <w:jc w:val="both"/>
        <w:rPr>
          <w:rFonts w:ascii="Times New Roman" w:hAnsi="Times New Roman" w:cs="Times New Roman"/>
          <w:b/>
          <w:sz w:val="24"/>
          <w:szCs w:val="24"/>
          <w:lang w:val="es-MX"/>
        </w:rPr>
      </w:pPr>
      <w:r>
        <w:rPr>
          <w:rFonts w:ascii="Times New Roman" w:eastAsia="Calibri" w:hAnsi="Times New Roman" w:cs="Times New Roman"/>
          <w:b/>
          <w:color w:val="auto"/>
          <w:sz w:val="24"/>
          <w:szCs w:val="24"/>
          <w:lang w:val="es-ES"/>
        </w:rPr>
        <w:lastRenderedPageBreak/>
        <w:t>Bibliografía</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Alcívar, M. L. (2019). Prueba ser bachiller. Obtenido de Análisis de los factores de influencia en los resultados obtenidos en las pruebas Ser Bachiller de los estudiantes de tercero de bachillerato de las unidades educativas fiscales y particulares tipo A</w:t>
      </w:r>
      <w:r>
        <w:rPr>
          <w:rFonts w:ascii="Times New Roman" w:eastAsia="Calibri" w:hAnsi="Times New Roman" w:cs="Times New Roman"/>
          <w:color w:val="auto"/>
          <w:sz w:val="24"/>
          <w:szCs w:val="24"/>
          <w:lang w:val="es-ES"/>
        </w:rPr>
        <w:t xml:space="preserve"> del norte de Guayaquil, distrito </w:t>
      </w:r>
      <w:proofErr w:type="spellStart"/>
      <w:r>
        <w:rPr>
          <w:rFonts w:ascii="Times New Roman" w:eastAsia="Calibri" w:hAnsi="Times New Roman" w:cs="Times New Roman"/>
          <w:color w:val="auto"/>
          <w:sz w:val="24"/>
          <w:szCs w:val="24"/>
          <w:lang w:val="es-ES"/>
        </w:rPr>
        <w:t>Tarqui</w:t>
      </w:r>
      <w:proofErr w:type="spellEnd"/>
      <w:r>
        <w:rPr>
          <w:rFonts w:ascii="Times New Roman" w:eastAsia="Calibri" w:hAnsi="Times New Roman" w:cs="Times New Roman"/>
          <w:color w:val="auto"/>
          <w:sz w:val="24"/>
          <w:szCs w:val="24"/>
          <w:lang w:val="es-ES"/>
        </w:rPr>
        <w:t xml:space="preserve"> 2 (09D06). Recuperado de: </w:t>
      </w:r>
      <w:r>
        <w:rPr>
          <w:rStyle w:val="EnlacedeInternet"/>
          <w:rFonts w:ascii="Times New Roman" w:eastAsia="Calibri" w:hAnsi="Times New Roman" w:cs="Times New Roman"/>
          <w:color w:val="auto"/>
          <w:sz w:val="24"/>
          <w:szCs w:val="24"/>
          <w:lang w:val="es-ES"/>
        </w:rPr>
        <w:t>http://repositorio.ucsg.edu.ec/handle/3317/12697</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 xml:space="preserve">Becerra, W., Valencia Ortiz, N., &amp; </w:t>
      </w:r>
      <w:proofErr w:type="spellStart"/>
      <w:r>
        <w:rPr>
          <w:rFonts w:ascii="Times New Roman" w:eastAsia="Calibri" w:hAnsi="Times New Roman" w:cs="Times New Roman"/>
          <w:color w:val="auto"/>
          <w:sz w:val="24"/>
          <w:szCs w:val="24"/>
          <w:lang w:val="es-ES"/>
        </w:rPr>
        <w:t>Valdéz</w:t>
      </w:r>
      <w:proofErr w:type="spellEnd"/>
      <w:r>
        <w:rPr>
          <w:rFonts w:ascii="Times New Roman" w:eastAsia="Calibri" w:hAnsi="Times New Roman" w:cs="Times New Roman"/>
          <w:color w:val="auto"/>
          <w:sz w:val="24"/>
          <w:szCs w:val="24"/>
          <w:lang w:val="es-ES"/>
        </w:rPr>
        <w:t xml:space="preserve"> </w:t>
      </w:r>
      <w:proofErr w:type="spellStart"/>
      <w:r>
        <w:rPr>
          <w:rFonts w:ascii="Times New Roman" w:eastAsia="Calibri" w:hAnsi="Times New Roman" w:cs="Times New Roman"/>
          <w:color w:val="auto"/>
          <w:sz w:val="24"/>
          <w:szCs w:val="24"/>
          <w:lang w:val="es-ES"/>
        </w:rPr>
        <w:t>Requene</w:t>
      </w:r>
      <w:proofErr w:type="spellEnd"/>
      <w:r>
        <w:rPr>
          <w:rFonts w:ascii="Times New Roman" w:eastAsia="Calibri" w:hAnsi="Times New Roman" w:cs="Times New Roman"/>
          <w:color w:val="auto"/>
          <w:sz w:val="24"/>
          <w:szCs w:val="24"/>
          <w:lang w:val="es-ES"/>
        </w:rPr>
        <w:t xml:space="preserve">, M. (2018). </w:t>
      </w:r>
      <w:proofErr w:type="spellStart"/>
      <w:r>
        <w:rPr>
          <w:rFonts w:ascii="Times New Roman" w:eastAsia="Calibri" w:hAnsi="Times New Roman" w:cs="Times New Roman"/>
          <w:color w:val="auto"/>
          <w:sz w:val="24"/>
          <w:szCs w:val="24"/>
          <w:lang w:val="es-ES"/>
        </w:rPr>
        <w:t>Eneñanza</w:t>
      </w:r>
      <w:proofErr w:type="spellEnd"/>
      <w:r>
        <w:rPr>
          <w:rFonts w:ascii="Times New Roman" w:eastAsia="Calibri" w:hAnsi="Times New Roman" w:cs="Times New Roman"/>
          <w:color w:val="auto"/>
          <w:sz w:val="24"/>
          <w:szCs w:val="24"/>
          <w:lang w:val="es-ES"/>
        </w:rPr>
        <w:t xml:space="preserve"> y aprendizaje en las matemáticas. Polo del conocimiento, 162-171.</w:t>
      </w:r>
    </w:p>
    <w:p w:rsidR="00533D24" w:rsidRPr="00AB39C4" w:rsidRDefault="00AB39C4" w:rsidP="00AB39C4">
      <w:pPr>
        <w:pStyle w:val="Ttulo1"/>
        <w:spacing w:after="240" w:line="360" w:lineRule="auto"/>
        <w:ind w:left="426" w:hanging="426"/>
        <w:jc w:val="both"/>
        <w:rPr>
          <w:lang w:val="es-419"/>
        </w:rPr>
      </w:pPr>
      <w:proofErr w:type="spellStart"/>
      <w:r>
        <w:rPr>
          <w:rFonts w:ascii="Times New Roman" w:eastAsia="Calibri" w:hAnsi="Times New Roman" w:cs="Times New Roman"/>
          <w:color w:val="auto"/>
          <w:sz w:val="24"/>
          <w:szCs w:val="24"/>
          <w:lang w:val="es-ES"/>
        </w:rPr>
        <w:t>Ben</w:t>
      </w:r>
      <w:r>
        <w:rPr>
          <w:rFonts w:ascii="Times New Roman" w:eastAsia="Calibri" w:hAnsi="Times New Roman" w:cs="Times New Roman"/>
          <w:color w:val="auto"/>
          <w:sz w:val="24"/>
          <w:szCs w:val="24"/>
          <w:lang w:val="es-ES"/>
        </w:rPr>
        <w:t>jumeda</w:t>
      </w:r>
      <w:proofErr w:type="spellEnd"/>
      <w:r>
        <w:rPr>
          <w:rFonts w:ascii="Times New Roman" w:eastAsia="Calibri" w:hAnsi="Times New Roman" w:cs="Times New Roman"/>
          <w:color w:val="auto"/>
          <w:sz w:val="24"/>
          <w:szCs w:val="24"/>
          <w:lang w:val="es-ES"/>
        </w:rPr>
        <w:t>, F. J., Romero, I., &amp; López-Martín, M. d. (2018). Alfabetización matemática a través del aprendizaje basado en proyectos en secundaria. Funes, 163-172.</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 xml:space="preserve">Bravo, R. M. (2019). Estrategias tecnológicas aplicadas en el desarrollo cognitivos de las pruebas ser bachiller en los estudiantes del tercer año de bachillerato. Obtenido de Pruebas ser bachillerato: Recuperado de: </w:t>
      </w:r>
      <w:r>
        <w:rPr>
          <w:rStyle w:val="EnlacedeInternet"/>
          <w:rFonts w:ascii="Times New Roman" w:eastAsia="Calibri" w:hAnsi="Times New Roman" w:cs="Times New Roman"/>
          <w:color w:val="auto"/>
          <w:sz w:val="24"/>
          <w:szCs w:val="24"/>
          <w:lang w:val="es-ES"/>
        </w:rPr>
        <w:t>http://dspace.utb.edu.ec/handle/49000/6</w:t>
      </w:r>
      <w:r>
        <w:rPr>
          <w:rStyle w:val="EnlacedeInternet"/>
          <w:rFonts w:ascii="Times New Roman" w:eastAsia="Calibri" w:hAnsi="Times New Roman" w:cs="Times New Roman"/>
          <w:color w:val="auto"/>
          <w:sz w:val="24"/>
          <w:szCs w:val="24"/>
          <w:lang w:val="es-ES"/>
        </w:rPr>
        <w:t>924</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 xml:space="preserve">Cedeño, F., Jarre, G., Macías, R., &amp; Jarre, R. (2020). La enseñanza de la matemática y su incidencia en la calidad de graduados en la educación superior. Revista SINAPSIS, 1-7. </w:t>
      </w:r>
      <w:proofErr w:type="spellStart"/>
      <w:r>
        <w:rPr>
          <w:rFonts w:ascii="Times New Roman" w:eastAsia="Calibri" w:hAnsi="Times New Roman" w:cs="Times New Roman"/>
          <w:color w:val="auto"/>
          <w:sz w:val="24"/>
          <w:szCs w:val="24"/>
          <w:lang w:val="es-ES"/>
        </w:rPr>
        <w:t>DOI</w:t>
      </w:r>
      <w:proofErr w:type="spellEnd"/>
      <w:r>
        <w:rPr>
          <w:rFonts w:ascii="Times New Roman" w:eastAsia="Calibri" w:hAnsi="Times New Roman" w:cs="Times New Roman"/>
          <w:color w:val="auto"/>
          <w:sz w:val="24"/>
          <w:szCs w:val="24"/>
          <w:lang w:val="es-ES"/>
        </w:rPr>
        <w:t>: </w:t>
      </w:r>
      <w:hyperlink r:id="rId11">
        <w:r>
          <w:rPr>
            <w:rStyle w:val="EnlacedeInternet"/>
            <w:rFonts w:ascii="Times New Roman" w:eastAsia="Calibri" w:hAnsi="Times New Roman" w:cs="Times New Roman"/>
            <w:color w:val="auto"/>
            <w:sz w:val="24"/>
            <w:szCs w:val="24"/>
            <w:lang w:val="es-ES"/>
          </w:rPr>
          <w:t>https://doi.or</w:t>
        </w:r>
        <w:r>
          <w:rPr>
            <w:rStyle w:val="EnlacedeInternet"/>
            <w:rFonts w:ascii="Times New Roman" w:eastAsia="Calibri" w:hAnsi="Times New Roman" w:cs="Times New Roman"/>
            <w:color w:val="auto"/>
            <w:sz w:val="24"/>
            <w:szCs w:val="24"/>
            <w:lang w:val="es-ES"/>
          </w:rPr>
          <w:t>g/10.37117/s.v1i16.243</w:t>
        </w:r>
      </w:hyperlink>
    </w:p>
    <w:p w:rsidR="00533D24" w:rsidRDefault="00AB39C4" w:rsidP="00AB39C4">
      <w:pPr>
        <w:pStyle w:val="Ttulo1"/>
        <w:spacing w:after="240" w:line="360" w:lineRule="auto"/>
        <w:ind w:left="426" w:hanging="426"/>
        <w:rPr>
          <w:rFonts w:ascii="Times New Roman" w:eastAsia="Calibri" w:hAnsi="Times New Roman" w:cs="Times New Roman"/>
          <w:color w:val="auto"/>
          <w:sz w:val="24"/>
          <w:szCs w:val="24"/>
          <w:lang w:val="es-ES"/>
        </w:rPr>
      </w:pPr>
      <w:r>
        <w:rPr>
          <w:rFonts w:ascii="Times New Roman" w:eastAsia="Calibri" w:hAnsi="Times New Roman" w:cs="Times New Roman"/>
          <w:color w:val="auto"/>
          <w:sz w:val="24"/>
          <w:szCs w:val="24"/>
          <w:lang w:val="es-ES"/>
        </w:rPr>
        <w:t xml:space="preserve">Daza, S. F. (2017). Ciudadanos   competentes   para   el   mundo   actual. Obtenido de La nueva educación hacia la   formación   de   un   sujeto competente para la emergencia planetaria. Recuperado de: </w:t>
      </w:r>
      <w:r w:rsidRPr="00AB39C4">
        <w:rPr>
          <w:rFonts w:ascii="Times New Roman" w:eastAsia="Calibri" w:hAnsi="Times New Roman" w:cs="Times New Roman"/>
          <w:color w:val="auto"/>
          <w:sz w:val="24"/>
          <w:szCs w:val="24"/>
          <w:u w:val="single"/>
          <w:lang w:val="es-ES"/>
        </w:rPr>
        <w:t>https://d1wqtxts1xzle7.cloudfront.net/33278109/ARTICULO_DE_Nueva_Educacion.pdf?1395427154=&amp;response-contentdisposition=inline%3B+filename%3DLA_NUEVA_ EDUCACION_HACIA_LA_FORMACION_DE.pdf&amp;Expires=1596645940&amp;Signature=BoDjTRLNvD3wvC0eS1BmUXE9MsSPYxI5cj1HfuxU</w:t>
      </w:r>
    </w:p>
    <w:p w:rsidR="00533D24" w:rsidRPr="00AB39C4" w:rsidRDefault="00AB39C4" w:rsidP="00AB39C4">
      <w:pPr>
        <w:pStyle w:val="Ttulo1"/>
        <w:spacing w:after="240" w:line="360" w:lineRule="auto"/>
        <w:ind w:left="426" w:hanging="426"/>
        <w:jc w:val="both"/>
        <w:rPr>
          <w:lang w:val="es-419"/>
        </w:rPr>
      </w:pPr>
      <w:proofErr w:type="spellStart"/>
      <w:r>
        <w:rPr>
          <w:rFonts w:ascii="Times New Roman" w:eastAsia="Calibri" w:hAnsi="Times New Roman" w:cs="Times New Roman"/>
          <w:color w:val="auto"/>
          <w:sz w:val="24"/>
          <w:szCs w:val="24"/>
          <w:lang w:val="es-ES"/>
        </w:rPr>
        <w:t>Felmer</w:t>
      </w:r>
      <w:proofErr w:type="spellEnd"/>
      <w:r>
        <w:rPr>
          <w:rFonts w:ascii="Times New Roman" w:eastAsia="Calibri" w:hAnsi="Times New Roman" w:cs="Times New Roman"/>
          <w:color w:val="auto"/>
          <w:sz w:val="24"/>
          <w:szCs w:val="24"/>
          <w:lang w:val="es-ES"/>
        </w:rPr>
        <w:t>, P., &amp; Perdomo-Díaz, J.</w:t>
      </w:r>
      <w:r>
        <w:rPr>
          <w:rFonts w:ascii="Times New Roman" w:eastAsia="Calibri" w:hAnsi="Times New Roman" w:cs="Times New Roman"/>
          <w:color w:val="auto"/>
          <w:sz w:val="24"/>
          <w:szCs w:val="24"/>
          <w:lang w:val="es-ES"/>
        </w:rPr>
        <w:t xml:space="preserve"> (2017). Un programa de desarrollo profesional </w:t>
      </w:r>
      <w:proofErr w:type="spellStart"/>
      <w:r>
        <w:rPr>
          <w:rFonts w:ascii="Times New Roman" w:eastAsia="Calibri" w:hAnsi="Times New Roman" w:cs="Times New Roman"/>
          <w:color w:val="auto"/>
          <w:sz w:val="24"/>
          <w:szCs w:val="24"/>
          <w:lang w:val="es-ES"/>
        </w:rPr>
        <w:t>dcoente</w:t>
      </w:r>
      <w:proofErr w:type="spellEnd"/>
      <w:r>
        <w:rPr>
          <w:rFonts w:ascii="Times New Roman" w:eastAsia="Calibri" w:hAnsi="Times New Roman" w:cs="Times New Roman"/>
          <w:color w:val="auto"/>
          <w:sz w:val="24"/>
          <w:szCs w:val="24"/>
          <w:lang w:val="es-ES"/>
        </w:rPr>
        <w:t xml:space="preserve"> para un </w:t>
      </w:r>
      <w:proofErr w:type="spellStart"/>
      <w:r>
        <w:rPr>
          <w:rFonts w:ascii="Times New Roman" w:eastAsia="Calibri" w:hAnsi="Times New Roman" w:cs="Times New Roman"/>
          <w:color w:val="auto"/>
          <w:sz w:val="24"/>
          <w:szCs w:val="24"/>
          <w:lang w:val="es-ES"/>
        </w:rPr>
        <w:t>currículode</w:t>
      </w:r>
      <w:proofErr w:type="spellEnd"/>
      <w:r>
        <w:rPr>
          <w:rFonts w:ascii="Times New Roman" w:eastAsia="Calibri" w:hAnsi="Times New Roman" w:cs="Times New Roman"/>
          <w:color w:val="auto"/>
          <w:sz w:val="24"/>
          <w:szCs w:val="24"/>
          <w:lang w:val="es-ES"/>
        </w:rPr>
        <w:t xml:space="preserve"> matemática centrado en las habilidades: la </w:t>
      </w:r>
      <w:proofErr w:type="spellStart"/>
      <w:r>
        <w:rPr>
          <w:rFonts w:ascii="Times New Roman" w:eastAsia="Calibri" w:hAnsi="Times New Roman" w:cs="Times New Roman"/>
          <w:color w:val="auto"/>
          <w:sz w:val="24"/>
          <w:szCs w:val="24"/>
          <w:lang w:val="es-ES"/>
        </w:rPr>
        <w:t>resolució</w:t>
      </w:r>
      <w:proofErr w:type="spellEnd"/>
      <w:r>
        <w:rPr>
          <w:rFonts w:ascii="Times New Roman" w:eastAsia="Calibri" w:hAnsi="Times New Roman" w:cs="Times New Roman"/>
          <w:color w:val="auto"/>
          <w:sz w:val="24"/>
          <w:szCs w:val="24"/>
          <w:lang w:val="es-ES"/>
        </w:rPr>
        <w:t xml:space="preserve"> de problemas como eje articulador. Educación Mate</w:t>
      </w:r>
      <w:bookmarkStart w:id="0" w:name="_GoBack"/>
      <w:bookmarkEnd w:id="0"/>
      <w:r>
        <w:rPr>
          <w:rFonts w:ascii="Times New Roman" w:eastAsia="Calibri" w:hAnsi="Times New Roman" w:cs="Times New Roman"/>
          <w:color w:val="auto"/>
          <w:sz w:val="24"/>
          <w:szCs w:val="24"/>
          <w:lang w:val="es-ES"/>
        </w:rPr>
        <w:t>mática, 201-217.</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lastRenderedPageBreak/>
        <w:t>Figueroa, J. (2019). Alineación entre el currículo y la evalua</w:t>
      </w:r>
      <w:r>
        <w:rPr>
          <w:rFonts w:ascii="Times New Roman" w:eastAsia="Calibri" w:hAnsi="Times New Roman" w:cs="Times New Roman"/>
          <w:color w:val="auto"/>
          <w:sz w:val="24"/>
          <w:szCs w:val="24"/>
          <w:lang w:val="es-ES"/>
        </w:rPr>
        <w:t xml:space="preserve">ción estandarizada: caso de la prueba SER Bachiller de Matemática en el </w:t>
      </w:r>
      <w:proofErr w:type="gramStart"/>
      <w:r>
        <w:rPr>
          <w:rFonts w:ascii="Times New Roman" w:eastAsia="Calibri" w:hAnsi="Times New Roman" w:cs="Times New Roman"/>
          <w:color w:val="auto"/>
          <w:sz w:val="24"/>
          <w:szCs w:val="24"/>
          <w:lang w:val="es-ES"/>
        </w:rPr>
        <w:t>Ecuador .</w:t>
      </w:r>
      <w:proofErr w:type="gramEnd"/>
      <w:r>
        <w:rPr>
          <w:rFonts w:ascii="Times New Roman" w:eastAsia="Calibri" w:hAnsi="Times New Roman" w:cs="Times New Roman"/>
          <w:color w:val="auto"/>
          <w:sz w:val="24"/>
          <w:szCs w:val="24"/>
          <w:lang w:val="es-ES"/>
        </w:rPr>
        <w:t xml:space="preserve"> Obtenido de Prueba ser bachiller: Recuperado de: </w:t>
      </w:r>
      <w:r>
        <w:rPr>
          <w:rStyle w:val="EnlacedeInternet"/>
          <w:rFonts w:ascii="Times New Roman" w:eastAsia="Calibri" w:hAnsi="Times New Roman" w:cs="Times New Roman"/>
          <w:color w:val="auto"/>
          <w:sz w:val="24"/>
          <w:szCs w:val="24"/>
          <w:lang w:val="es-ES"/>
        </w:rPr>
        <w:t>http://repositorio.uasb.edu.ec/bitstream/10644/6834/1/T2921-MIE-Figueroa-AlineaciOn.pdf</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 xml:space="preserve">Flores, C. A., &amp; </w:t>
      </w:r>
      <w:proofErr w:type="spellStart"/>
      <w:r>
        <w:rPr>
          <w:rFonts w:ascii="Times New Roman" w:eastAsia="Calibri" w:hAnsi="Times New Roman" w:cs="Times New Roman"/>
          <w:color w:val="auto"/>
          <w:sz w:val="24"/>
          <w:szCs w:val="24"/>
          <w:lang w:val="es-ES"/>
        </w:rPr>
        <w:t>Rogel</w:t>
      </w:r>
      <w:proofErr w:type="spellEnd"/>
      <w:r>
        <w:rPr>
          <w:rFonts w:ascii="Times New Roman" w:eastAsia="Calibri" w:hAnsi="Times New Roman" w:cs="Times New Roman"/>
          <w:color w:val="auto"/>
          <w:sz w:val="24"/>
          <w:szCs w:val="24"/>
          <w:lang w:val="es-ES"/>
        </w:rPr>
        <w:t xml:space="preserve"> </w:t>
      </w:r>
      <w:proofErr w:type="spellStart"/>
      <w:r>
        <w:rPr>
          <w:rFonts w:ascii="Times New Roman" w:eastAsia="Calibri" w:hAnsi="Times New Roman" w:cs="Times New Roman"/>
          <w:color w:val="auto"/>
          <w:sz w:val="24"/>
          <w:szCs w:val="24"/>
          <w:lang w:val="es-ES"/>
        </w:rPr>
        <w:t>Pasato</w:t>
      </w:r>
      <w:proofErr w:type="spellEnd"/>
      <w:r>
        <w:rPr>
          <w:rFonts w:ascii="Times New Roman" w:eastAsia="Calibri" w:hAnsi="Times New Roman" w:cs="Times New Roman"/>
          <w:color w:val="auto"/>
          <w:sz w:val="24"/>
          <w:szCs w:val="24"/>
          <w:lang w:val="es-ES"/>
        </w:rPr>
        <w:t xml:space="preserve">, J. A. </w:t>
      </w:r>
      <w:r>
        <w:rPr>
          <w:rFonts w:ascii="Times New Roman" w:eastAsia="Calibri" w:hAnsi="Times New Roman" w:cs="Times New Roman"/>
          <w:color w:val="auto"/>
          <w:sz w:val="24"/>
          <w:szCs w:val="24"/>
          <w:lang w:val="es-ES"/>
        </w:rPr>
        <w:t xml:space="preserve">(2019). Estrategias didácticas para enseñar matemáticas y el rendimiento académico. Obtenido de Estrategias matemáticas: Recuperado de: </w:t>
      </w:r>
      <w:hyperlink r:id="rId12">
        <w:r>
          <w:rPr>
            <w:rStyle w:val="EnlacedeInternet"/>
            <w:rFonts w:ascii="Times New Roman" w:eastAsia="Calibri" w:hAnsi="Times New Roman" w:cs="Times New Roman"/>
            <w:color w:val="auto"/>
            <w:sz w:val="24"/>
            <w:szCs w:val="24"/>
            <w:lang w:val="es-ES"/>
          </w:rPr>
          <w:t>http://repositorio.utmachala.edu.ec/handle/480</w:t>
        </w:r>
        <w:r>
          <w:rPr>
            <w:rStyle w:val="EnlacedeInternet"/>
            <w:rFonts w:ascii="Times New Roman" w:eastAsia="Calibri" w:hAnsi="Times New Roman" w:cs="Times New Roman"/>
            <w:color w:val="auto"/>
            <w:sz w:val="24"/>
            <w:szCs w:val="24"/>
            <w:lang w:val="es-ES"/>
          </w:rPr>
          <w:t>00/14030</w:t>
        </w:r>
      </w:hyperlink>
    </w:p>
    <w:p w:rsidR="00533D24" w:rsidRPr="00AB39C4" w:rsidRDefault="00AB39C4" w:rsidP="00AB39C4">
      <w:pPr>
        <w:pStyle w:val="Ttulo1"/>
        <w:spacing w:after="240" w:line="360" w:lineRule="auto"/>
        <w:ind w:left="426" w:hanging="426"/>
        <w:rPr>
          <w:lang w:val="es-419"/>
        </w:rPr>
      </w:pPr>
      <w:r>
        <w:rPr>
          <w:rFonts w:ascii="Times New Roman" w:eastAsia="Calibri" w:hAnsi="Times New Roman" w:cs="Times New Roman"/>
          <w:color w:val="auto"/>
          <w:sz w:val="24"/>
          <w:szCs w:val="24"/>
          <w:lang w:val="es-ES"/>
        </w:rPr>
        <w:t xml:space="preserve">Linares Cabrera, E. A. (2017). El  aprendizaje  cooperativo  y  su influencia  en  el  rendimiento académico en el área de matemática de los alumnos de educación secundaria. Obtenido de Estrategias metodológicas. Recuperado </w:t>
      </w:r>
      <w:proofErr w:type="gramStart"/>
      <w:r>
        <w:rPr>
          <w:rFonts w:ascii="Times New Roman" w:eastAsia="Calibri" w:hAnsi="Times New Roman" w:cs="Times New Roman"/>
          <w:color w:val="auto"/>
          <w:sz w:val="24"/>
          <w:szCs w:val="24"/>
          <w:lang w:val="es-ES"/>
        </w:rPr>
        <w:t>de :</w:t>
      </w:r>
      <w:proofErr w:type="gramEnd"/>
      <w:r>
        <w:rPr>
          <w:rFonts w:ascii="Times New Roman" w:eastAsia="Calibri" w:hAnsi="Times New Roman" w:cs="Times New Roman"/>
          <w:color w:val="auto"/>
          <w:sz w:val="24"/>
          <w:szCs w:val="24"/>
          <w:lang w:val="es-ES"/>
        </w:rPr>
        <w:t xml:space="preserve"> </w:t>
      </w:r>
      <w:hyperlink r:id="rId13">
        <w:r>
          <w:rPr>
            <w:rStyle w:val="EnlacedeInternet"/>
            <w:rFonts w:ascii="Times New Roman" w:eastAsia="Calibri" w:hAnsi="Times New Roman" w:cs="Times New Roman"/>
            <w:color w:val="auto"/>
            <w:sz w:val="24"/>
            <w:szCs w:val="24"/>
            <w:lang w:val="es-ES"/>
          </w:rPr>
          <w:t>http://200.37.16.212/bitstream/handle/usmp/2621/linares_cae.pdf?sequence=1&amp;isAllowed=y</w:t>
        </w:r>
      </w:hyperlink>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 xml:space="preserve">Marín Bautista, M. (2019). Docentes con falta de </w:t>
      </w:r>
      <w:proofErr w:type="spellStart"/>
      <w:r>
        <w:rPr>
          <w:rFonts w:ascii="Times New Roman" w:eastAsia="Calibri" w:hAnsi="Times New Roman" w:cs="Times New Roman"/>
          <w:color w:val="auto"/>
          <w:sz w:val="24"/>
          <w:szCs w:val="24"/>
          <w:lang w:val="es-ES"/>
        </w:rPr>
        <w:t>formacion</w:t>
      </w:r>
      <w:proofErr w:type="spellEnd"/>
      <w:r>
        <w:rPr>
          <w:rFonts w:ascii="Times New Roman" w:eastAsia="Calibri" w:hAnsi="Times New Roman" w:cs="Times New Roman"/>
          <w:color w:val="auto"/>
          <w:sz w:val="24"/>
          <w:szCs w:val="24"/>
          <w:lang w:val="es-ES"/>
        </w:rPr>
        <w:t xml:space="preserve"> </w:t>
      </w:r>
      <w:proofErr w:type="spellStart"/>
      <w:r>
        <w:rPr>
          <w:rFonts w:ascii="Times New Roman" w:eastAsia="Calibri" w:hAnsi="Times New Roman" w:cs="Times New Roman"/>
          <w:color w:val="auto"/>
          <w:sz w:val="24"/>
          <w:szCs w:val="24"/>
          <w:lang w:val="es-ES"/>
        </w:rPr>
        <w:t>pedagogica</w:t>
      </w:r>
      <w:proofErr w:type="spellEnd"/>
      <w:r>
        <w:rPr>
          <w:rFonts w:ascii="Times New Roman" w:eastAsia="Calibri" w:hAnsi="Times New Roman" w:cs="Times New Roman"/>
          <w:color w:val="auto"/>
          <w:sz w:val="24"/>
          <w:szCs w:val="24"/>
          <w:lang w:val="es-ES"/>
        </w:rPr>
        <w:t>. Obtenido d</w:t>
      </w:r>
      <w:r>
        <w:rPr>
          <w:rFonts w:ascii="Times New Roman" w:eastAsia="Calibri" w:hAnsi="Times New Roman" w:cs="Times New Roman"/>
          <w:color w:val="auto"/>
          <w:sz w:val="24"/>
          <w:szCs w:val="24"/>
          <w:lang w:val="es-ES"/>
        </w:rPr>
        <w:t xml:space="preserve">e El proceso de integración de las TIC en un Instituto de Educación Secundaria: Un estudio de caso. Recuperado de: </w:t>
      </w:r>
      <w:hyperlink r:id="rId14">
        <w:r>
          <w:rPr>
            <w:rStyle w:val="EnlacedeInternet"/>
            <w:rFonts w:ascii="Times New Roman" w:eastAsia="Calibri" w:hAnsi="Times New Roman" w:cs="Times New Roman"/>
            <w:color w:val="auto"/>
            <w:sz w:val="24"/>
            <w:szCs w:val="24"/>
            <w:lang w:val="es-ES"/>
          </w:rPr>
          <w:t>https://riull.ull.es/xmlui/bitstream/handle/915/17348/El%20proceso%20de%20integracion%20de%20las%20TIC%20en%20un%20Instituto%20de%20Educacion%20Secundaria%20Un%20estudio%20de%20caso.pdf?sequence=1</w:t>
        </w:r>
      </w:hyperlink>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Mejía, O., Menén</w:t>
      </w:r>
      <w:r>
        <w:rPr>
          <w:rFonts w:ascii="Times New Roman" w:eastAsia="Calibri" w:hAnsi="Times New Roman" w:cs="Times New Roman"/>
          <w:color w:val="auto"/>
          <w:sz w:val="24"/>
          <w:szCs w:val="24"/>
          <w:lang w:val="es-ES"/>
        </w:rPr>
        <w:t xml:space="preserve">dez Medrano, C., Camatón </w:t>
      </w:r>
      <w:proofErr w:type="spellStart"/>
      <w:r>
        <w:rPr>
          <w:rFonts w:ascii="Times New Roman" w:eastAsia="Calibri" w:hAnsi="Times New Roman" w:cs="Times New Roman"/>
          <w:color w:val="auto"/>
          <w:sz w:val="24"/>
          <w:szCs w:val="24"/>
          <w:lang w:val="es-ES"/>
        </w:rPr>
        <w:t>Arízabal</w:t>
      </w:r>
      <w:proofErr w:type="spellEnd"/>
      <w:r>
        <w:rPr>
          <w:rFonts w:ascii="Times New Roman" w:eastAsia="Calibri" w:hAnsi="Times New Roman" w:cs="Times New Roman"/>
          <w:color w:val="auto"/>
          <w:sz w:val="24"/>
          <w:szCs w:val="24"/>
          <w:lang w:val="es-ES"/>
        </w:rPr>
        <w:t xml:space="preserve">, S., &amp; Torres </w:t>
      </w:r>
      <w:proofErr w:type="spellStart"/>
      <w:r>
        <w:rPr>
          <w:rFonts w:ascii="Times New Roman" w:eastAsia="Calibri" w:hAnsi="Times New Roman" w:cs="Times New Roman"/>
          <w:color w:val="auto"/>
          <w:sz w:val="24"/>
          <w:szCs w:val="24"/>
          <w:lang w:val="es-ES"/>
        </w:rPr>
        <w:t>Gangotena</w:t>
      </w:r>
      <w:proofErr w:type="spellEnd"/>
      <w:r>
        <w:rPr>
          <w:rFonts w:ascii="Times New Roman" w:eastAsia="Calibri" w:hAnsi="Times New Roman" w:cs="Times New Roman"/>
          <w:color w:val="auto"/>
          <w:sz w:val="24"/>
          <w:szCs w:val="24"/>
          <w:lang w:val="es-ES"/>
        </w:rPr>
        <w:t>, M. (2018). Prueba Ser Bachiller, el inicio para la educación superior en el Ecuador. Revista Científica: Dominio de las Ciencias, 110-122.</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Morales, L., García, O., Torres, A., &amp; Lebrija, A. (2018).</w:t>
      </w:r>
      <w:r>
        <w:rPr>
          <w:rFonts w:ascii="Times New Roman" w:eastAsia="Calibri" w:hAnsi="Times New Roman" w:cs="Times New Roman"/>
          <w:color w:val="auto"/>
          <w:sz w:val="24"/>
          <w:szCs w:val="24"/>
          <w:lang w:val="es-ES"/>
        </w:rPr>
        <w:t xml:space="preserve"> Habilidades Cognitivas a través de la Estrategia de Aprendizaje Cooperativo y Perfeccionamiento Epistemológico en Matemática de Estudiantes de Primer Año de Universidad. Formación Universitaria, 45-55.</w:t>
      </w:r>
    </w:p>
    <w:p w:rsidR="00533D24" w:rsidRPr="00AB39C4" w:rsidRDefault="00AB39C4" w:rsidP="00AB39C4">
      <w:pPr>
        <w:pStyle w:val="Ttulo1"/>
        <w:spacing w:after="240" w:line="360" w:lineRule="auto"/>
        <w:ind w:left="426" w:hanging="426"/>
        <w:jc w:val="both"/>
        <w:rPr>
          <w:lang w:val="es-419"/>
        </w:rPr>
      </w:pPr>
      <w:proofErr w:type="spellStart"/>
      <w:r>
        <w:rPr>
          <w:rFonts w:ascii="Times New Roman" w:eastAsia="Calibri" w:hAnsi="Times New Roman" w:cs="Times New Roman"/>
          <w:color w:val="auto"/>
          <w:sz w:val="24"/>
          <w:szCs w:val="24"/>
          <w:lang w:val="es-ES"/>
        </w:rPr>
        <w:t>Nuñez</w:t>
      </w:r>
      <w:proofErr w:type="spellEnd"/>
      <w:r>
        <w:rPr>
          <w:rFonts w:ascii="Times New Roman" w:eastAsia="Calibri" w:hAnsi="Times New Roman" w:cs="Times New Roman"/>
          <w:color w:val="auto"/>
          <w:sz w:val="24"/>
          <w:szCs w:val="24"/>
          <w:lang w:val="es-ES"/>
        </w:rPr>
        <w:t>, J. A. (2018). Repositorio taller de matemática</w:t>
      </w:r>
      <w:r>
        <w:rPr>
          <w:rFonts w:ascii="Times New Roman" w:eastAsia="Calibri" w:hAnsi="Times New Roman" w:cs="Times New Roman"/>
          <w:color w:val="auto"/>
          <w:sz w:val="24"/>
          <w:szCs w:val="24"/>
          <w:lang w:val="es-ES"/>
        </w:rPr>
        <w:t xml:space="preserve">. Obtenido de Taller de formación pedagógica para mejorar el nivel de logro de matemática: Recuperado de: </w:t>
      </w:r>
      <w:r>
        <w:rPr>
          <w:rStyle w:val="EnlacedeInternet"/>
          <w:rFonts w:ascii="Times New Roman" w:eastAsia="Calibri" w:hAnsi="Times New Roman" w:cs="Times New Roman"/>
          <w:color w:val="auto"/>
          <w:sz w:val="24"/>
          <w:szCs w:val="24"/>
          <w:lang w:val="es-ES"/>
        </w:rPr>
        <w:t>http://repositorio.usil.edu.pe/bitstream/USIL/4112/3/2018_NU%C3%91EZ_TRELLES_JUDITH_AIME.pdf</w:t>
      </w:r>
    </w:p>
    <w:p w:rsidR="00533D24" w:rsidRPr="00AB39C4" w:rsidRDefault="00AB39C4" w:rsidP="00AB39C4">
      <w:pPr>
        <w:pStyle w:val="Ttulo1"/>
        <w:spacing w:after="240" w:line="360" w:lineRule="auto"/>
        <w:ind w:left="426" w:hanging="426"/>
        <w:rPr>
          <w:lang w:val="es-419"/>
        </w:rPr>
      </w:pPr>
      <w:proofErr w:type="spellStart"/>
      <w:r>
        <w:rPr>
          <w:rFonts w:ascii="Times New Roman" w:eastAsia="Calibri" w:hAnsi="Times New Roman" w:cs="Times New Roman"/>
          <w:color w:val="auto"/>
          <w:sz w:val="24"/>
          <w:szCs w:val="24"/>
          <w:lang w:val="es-ES"/>
        </w:rPr>
        <w:lastRenderedPageBreak/>
        <w:t>Nuñez</w:t>
      </w:r>
      <w:proofErr w:type="spellEnd"/>
      <w:r>
        <w:rPr>
          <w:rFonts w:ascii="Times New Roman" w:eastAsia="Calibri" w:hAnsi="Times New Roman" w:cs="Times New Roman"/>
          <w:color w:val="auto"/>
          <w:sz w:val="24"/>
          <w:szCs w:val="24"/>
          <w:lang w:val="es-ES"/>
        </w:rPr>
        <w:t xml:space="preserve">, N., &amp; </w:t>
      </w:r>
      <w:proofErr w:type="spellStart"/>
      <w:r>
        <w:rPr>
          <w:rFonts w:ascii="Times New Roman" w:eastAsia="Calibri" w:hAnsi="Times New Roman" w:cs="Times New Roman"/>
          <w:color w:val="auto"/>
          <w:sz w:val="24"/>
          <w:szCs w:val="24"/>
          <w:lang w:val="es-ES"/>
        </w:rPr>
        <w:t>Helí</w:t>
      </w:r>
      <w:proofErr w:type="spellEnd"/>
      <w:r>
        <w:rPr>
          <w:rFonts w:ascii="Times New Roman" w:eastAsia="Calibri" w:hAnsi="Times New Roman" w:cs="Times New Roman"/>
          <w:color w:val="auto"/>
          <w:sz w:val="24"/>
          <w:szCs w:val="24"/>
          <w:lang w:val="es-ES"/>
        </w:rPr>
        <w:t>, R. (2018). Taller pedagógico. Obtenido</w:t>
      </w:r>
      <w:r>
        <w:rPr>
          <w:rFonts w:ascii="Times New Roman" w:eastAsia="Calibri" w:hAnsi="Times New Roman" w:cs="Times New Roman"/>
          <w:color w:val="auto"/>
          <w:sz w:val="24"/>
          <w:szCs w:val="24"/>
          <w:lang w:val="es-ES"/>
        </w:rPr>
        <w:t xml:space="preserve"> de Gestión curricular para mejorar el rendimiento académico del área de matemática de la Institución Educativa Pública San Juan: Recuperado de: </w:t>
      </w:r>
      <w:hyperlink r:id="rId15">
        <w:r>
          <w:rPr>
            <w:rStyle w:val="EnlacedeInternet"/>
            <w:rFonts w:ascii="Times New Roman" w:eastAsia="Calibri" w:hAnsi="Times New Roman" w:cs="Times New Roman"/>
            <w:color w:val="auto"/>
            <w:sz w:val="24"/>
            <w:szCs w:val="24"/>
            <w:lang w:val="es-ES"/>
          </w:rPr>
          <w:t>http://repositorio.usil.edu.pe/bitstream/USIL/5136/4/2018_NEYRA_NUc3%91EZ_HELI_RENE.pdf</w:t>
        </w:r>
      </w:hyperlink>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 xml:space="preserve">Sobrado, E., </w:t>
      </w:r>
      <w:proofErr w:type="spellStart"/>
      <w:r>
        <w:rPr>
          <w:rFonts w:ascii="Times New Roman" w:eastAsia="Calibri" w:hAnsi="Times New Roman" w:cs="Times New Roman"/>
          <w:color w:val="auto"/>
          <w:sz w:val="24"/>
          <w:szCs w:val="24"/>
          <w:lang w:val="es-ES"/>
        </w:rPr>
        <w:t>Sarduy</w:t>
      </w:r>
      <w:proofErr w:type="spellEnd"/>
      <w:r>
        <w:rPr>
          <w:rFonts w:ascii="Times New Roman" w:eastAsia="Calibri" w:hAnsi="Times New Roman" w:cs="Times New Roman"/>
          <w:color w:val="auto"/>
          <w:sz w:val="24"/>
          <w:szCs w:val="24"/>
          <w:lang w:val="es-ES"/>
        </w:rPr>
        <w:t xml:space="preserve"> Nápoles, D., &amp; </w:t>
      </w:r>
      <w:proofErr w:type="spellStart"/>
      <w:r>
        <w:rPr>
          <w:rFonts w:ascii="Times New Roman" w:eastAsia="Calibri" w:hAnsi="Times New Roman" w:cs="Times New Roman"/>
          <w:color w:val="auto"/>
          <w:sz w:val="24"/>
          <w:szCs w:val="24"/>
          <w:lang w:val="es-ES"/>
        </w:rPr>
        <w:t>Espindola</w:t>
      </w:r>
      <w:proofErr w:type="spellEnd"/>
      <w:r>
        <w:rPr>
          <w:rFonts w:ascii="Times New Roman" w:eastAsia="Calibri" w:hAnsi="Times New Roman" w:cs="Times New Roman"/>
          <w:color w:val="auto"/>
          <w:sz w:val="24"/>
          <w:szCs w:val="24"/>
          <w:lang w:val="es-ES"/>
        </w:rPr>
        <w:t xml:space="preserve"> Artola, A. (2018). Estrategia didáctica para mejorar la calidad de la comunicación en matemática. Transformación, 272-285.</w:t>
      </w:r>
    </w:p>
    <w:p w:rsidR="00533D24" w:rsidRPr="00AB39C4" w:rsidRDefault="00AB39C4" w:rsidP="00AB39C4">
      <w:pPr>
        <w:pStyle w:val="Ttulo1"/>
        <w:spacing w:after="240" w:line="360" w:lineRule="auto"/>
        <w:ind w:left="426" w:hanging="426"/>
        <w:jc w:val="both"/>
        <w:rPr>
          <w:lang w:val="es-419"/>
        </w:rPr>
      </w:pPr>
      <w:r>
        <w:rPr>
          <w:rFonts w:ascii="Times New Roman" w:eastAsia="Calibri" w:hAnsi="Times New Roman" w:cs="Times New Roman"/>
          <w:color w:val="auto"/>
          <w:sz w:val="24"/>
          <w:szCs w:val="24"/>
          <w:lang w:val="es-ES"/>
        </w:rPr>
        <w:t xml:space="preserve">Villalón Guzmán, M., Medina Torres, M. G., &amp; Bravo Sánchez, M. G. (2015). </w:t>
      </w:r>
      <w:proofErr w:type="gramStart"/>
      <w:r>
        <w:rPr>
          <w:rFonts w:ascii="Times New Roman" w:eastAsia="Calibri" w:hAnsi="Times New Roman" w:cs="Times New Roman"/>
          <w:color w:val="auto"/>
          <w:sz w:val="24"/>
          <w:szCs w:val="24"/>
          <w:lang w:val="es-ES"/>
        </w:rPr>
        <w:t>Competencias matemáticas previa</w:t>
      </w:r>
      <w:proofErr w:type="gramEnd"/>
      <w:r>
        <w:rPr>
          <w:rFonts w:ascii="Times New Roman" w:eastAsia="Calibri" w:hAnsi="Times New Roman" w:cs="Times New Roman"/>
          <w:color w:val="auto"/>
          <w:sz w:val="24"/>
          <w:szCs w:val="24"/>
          <w:lang w:val="es-ES"/>
        </w:rPr>
        <w:t xml:space="preserve"> de los estudiantes de ingeniería. Revista electrónica </w:t>
      </w:r>
      <w:proofErr w:type="spellStart"/>
      <w:r>
        <w:rPr>
          <w:rFonts w:ascii="Times New Roman" w:eastAsia="Calibri" w:hAnsi="Times New Roman" w:cs="Times New Roman"/>
          <w:color w:val="auto"/>
          <w:sz w:val="24"/>
          <w:szCs w:val="24"/>
          <w:lang w:val="es-ES"/>
        </w:rPr>
        <w:t>Anfei</w:t>
      </w:r>
      <w:proofErr w:type="spellEnd"/>
      <w:r>
        <w:rPr>
          <w:rFonts w:ascii="Times New Roman" w:eastAsia="Calibri" w:hAnsi="Times New Roman" w:cs="Times New Roman"/>
          <w:color w:val="auto"/>
          <w:sz w:val="24"/>
          <w:szCs w:val="24"/>
          <w:lang w:val="es-ES"/>
        </w:rPr>
        <w:t xml:space="preserve"> Digital, 1-10.</w:t>
      </w:r>
    </w:p>
    <w:p w:rsidR="00533D24" w:rsidRDefault="00AB39C4" w:rsidP="00AB39C4">
      <w:pPr>
        <w:pStyle w:val="Ttulo1"/>
        <w:spacing w:after="240" w:line="360" w:lineRule="auto"/>
        <w:ind w:left="426" w:hanging="426"/>
        <w:jc w:val="both"/>
      </w:pPr>
      <w:r>
        <w:rPr>
          <w:rFonts w:ascii="Times New Roman" w:eastAsia="Calibri" w:hAnsi="Times New Roman" w:cs="Times New Roman"/>
          <w:color w:val="auto"/>
          <w:sz w:val="24"/>
          <w:szCs w:val="24"/>
          <w:lang w:val="es-ES"/>
        </w:rPr>
        <w:t xml:space="preserve">Zamora, J. A. (2015). Análisis de la confiabilidad de los resultados de la </w:t>
      </w:r>
      <w:r>
        <w:rPr>
          <w:rFonts w:ascii="Times New Roman" w:eastAsia="Calibri" w:hAnsi="Times New Roman" w:cs="Times New Roman"/>
          <w:color w:val="auto"/>
          <w:sz w:val="24"/>
          <w:szCs w:val="24"/>
          <w:lang w:val="es-ES"/>
        </w:rPr>
        <w:t xml:space="preserve">Prueba de Diagnóstico Matemática en la Universidad Nacional de Costa Rica utilizando el modelo de </w:t>
      </w:r>
      <w:proofErr w:type="spellStart"/>
      <w:r>
        <w:rPr>
          <w:rFonts w:ascii="Times New Roman" w:eastAsia="Calibri" w:hAnsi="Times New Roman" w:cs="Times New Roman"/>
          <w:color w:val="auto"/>
          <w:sz w:val="24"/>
          <w:szCs w:val="24"/>
          <w:lang w:val="es-ES"/>
        </w:rPr>
        <w:t>Rasch</w:t>
      </w:r>
      <w:proofErr w:type="spellEnd"/>
      <w:r>
        <w:rPr>
          <w:rFonts w:ascii="Times New Roman" w:eastAsia="Calibri" w:hAnsi="Times New Roman" w:cs="Times New Roman"/>
          <w:color w:val="auto"/>
          <w:sz w:val="24"/>
          <w:szCs w:val="24"/>
          <w:lang w:val="es-ES"/>
        </w:rPr>
        <w:t xml:space="preserve">. </w:t>
      </w:r>
      <w:proofErr w:type="spellStart"/>
      <w:r>
        <w:rPr>
          <w:rFonts w:ascii="Times New Roman" w:eastAsia="Calibri" w:hAnsi="Times New Roman" w:cs="Times New Roman"/>
          <w:color w:val="auto"/>
          <w:sz w:val="24"/>
          <w:szCs w:val="24"/>
          <w:lang w:val="es-ES"/>
        </w:rPr>
        <w:t>Scielo</w:t>
      </w:r>
      <w:proofErr w:type="spellEnd"/>
      <w:r>
        <w:rPr>
          <w:rFonts w:ascii="Times New Roman" w:eastAsia="Calibri" w:hAnsi="Times New Roman" w:cs="Times New Roman"/>
          <w:color w:val="auto"/>
          <w:sz w:val="24"/>
          <w:szCs w:val="24"/>
          <w:lang w:val="es-ES"/>
        </w:rPr>
        <w:t>.</w:t>
      </w:r>
    </w:p>
    <w:sectPr w:rsidR="00533D24">
      <w:headerReference w:type="default" r:id="rId16"/>
      <w:footerReference w:type="default" r:id="rId17"/>
      <w:pgSz w:w="11906" w:h="16838"/>
      <w:pgMar w:top="1440" w:right="851" w:bottom="1933" w:left="1830"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39C4">
      <w:pPr>
        <w:spacing w:after="0" w:line="240" w:lineRule="auto"/>
      </w:pPr>
      <w:r>
        <w:separator/>
      </w:r>
    </w:p>
  </w:endnote>
  <w:endnote w:type="continuationSeparator" w:id="0">
    <w:p w:rsidR="00000000" w:rsidRDefault="00AB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24" w:rsidRDefault="00AB39C4">
    <w:pPr>
      <w:pStyle w:val="Piedepgina"/>
      <w:jc w:val="right"/>
      <w:rPr>
        <w:rFonts w:ascii="Times New Roman" w:hAnsi="Times New Roman" w:cs="Times New Roman"/>
        <w:i/>
        <w:iCs/>
        <w:sz w:val="20"/>
      </w:rPr>
    </w:pPr>
    <w:r>
      <w:rPr>
        <w:rFonts w:ascii="Times New Roman" w:hAnsi="Times New Roman" w:cs="Times New Roman"/>
        <w:i/>
        <w:iCs/>
        <w:sz w:val="20"/>
      </w:rPr>
      <w:t>https://www.itsup.edu.ec/sinapsis</w:t>
    </w:r>
  </w:p>
  <w:p w:rsidR="00533D24" w:rsidRDefault="00533D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39C4">
      <w:pPr>
        <w:spacing w:after="0" w:line="240" w:lineRule="auto"/>
      </w:pPr>
      <w:r>
        <w:separator/>
      </w:r>
    </w:p>
  </w:footnote>
  <w:footnote w:type="continuationSeparator" w:id="0">
    <w:p w:rsidR="00000000" w:rsidRDefault="00AB3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24" w:rsidRDefault="00AB39C4">
    <w:pPr>
      <w:pStyle w:val="Encabezado"/>
      <w:jc w:val="right"/>
      <w:rPr>
        <w:rFonts w:ascii="Times New Roman" w:hAnsi="Times New Roman" w:cs="Times New Roman"/>
        <w:i/>
        <w:iCs/>
        <w:sz w:val="20"/>
      </w:rPr>
    </w:pPr>
    <w:r>
      <w:rPr>
        <w:rFonts w:ascii="Times New Roman" w:hAnsi="Times New Roman" w:cs="Times New Roman"/>
        <w:i/>
        <w:iCs/>
        <w:sz w:val="20"/>
      </w:rPr>
      <w:t xml:space="preserve">Revista Sinapsis. </w:t>
    </w:r>
    <w:proofErr w:type="spellStart"/>
    <w:r>
      <w:rPr>
        <w:rFonts w:ascii="Times New Roman" w:hAnsi="Times New Roman" w:cs="Times New Roman"/>
        <w:i/>
        <w:iCs/>
        <w:sz w:val="20"/>
      </w:rPr>
      <w:t>Vol</w:t>
    </w:r>
    <w:proofErr w:type="spellEnd"/>
    <w:r>
      <w:rPr>
        <w:rFonts w:ascii="Times New Roman" w:hAnsi="Times New Roman" w:cs="Times New Roman"/>
        <w:i/>
        <w:iCs/>
        <w:sz w:val="20"/>
      </w:rPr>
      <w:t xml:space="preserve"> 3, </w:t>
    </w:r>
    <w:proofErr w:type="spellStart"/>
    <w:r>
      <w:rPr>
        <w:rFonts w:ascii="Times New Roman" w:hAnsi="Times New Roman" w:cs="Times New Roman"/>
        <w:i/>
        <w:iCs/>
        <w:sz w:val="20"/>
      </w:rPr>
      <w:t>Nro</w:t>
    </w:r>
    <w:proofErr w:type="spellEnd"/>
    <w:r>
      <w:rPr>
        <w:rFonts w:ascii="Times New Roman" w:hAnsi="Times New Roman" w:cs="Times New Roman"/>
        <w:i/>
        <w:iCs/>
        <w:sz w:val="20"/>
      </w:rPr>
      <w:t xml:space="preserve"> 18, diciembre de 2020 | </w:t>
    </w:r>
    <w:proofErr w:type="spellStart"/>
    <w:r>
      <w:rPr>
        <w:rFonts w:ascii="Times New Roman" w:hAnsi="Times New Roman" w:cs="Times New Roman"/>
        <w:i/>
        <w:iCs/>
        <w:sz w:val="20"/>
      </w:rPr>
      <w:t>ISSN</w:t>
    </w:r>
    <w:proofErr w:type="spellEnd"/>
    <w:r>
      <w:rPr>
        <w:rFonts w:ascii="Times New Roman" w:hAnsi="Times New Roman" w:cs="Times New Roman"/>
        <w:i/>
        <w:iCs/>
        <w:sz w:val="20"/>
      </w:rPr>
      <w:t xml:space="preserve"> 1390 – 9770</w:t>
    </w:r>
  </w:p>
  <w:p w:rsidR="00533D24" w:rsidRDefault="00533D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24"/>
    <w:rsid w:val="00533D24"/>
    <w:rsid w:val="00AB39C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5AB6C-E19F-4E00-AA25-A9C54DC2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uiPriority w:val="9"/>
    <w:qFormat/>
    <w:pPr>
      <w:keepNext/>
      <w:keepLines/>
      <w:spacing w:before="240" w:after="0"/>
      <w:outlineLvl w:val="0"/>
    </w:pPr>
    <w:rPr>
      <w:rFonts w:ascii="Calibri Light" w:eastAsia="Calibri Light" w:hAnsi="Calibri Light" w:cs="Calibri Light"/>
      <w:color w:val="2E74B5" w:themeColor="accent1" w:themeShade="BF"/>
      <w:sz w:val="32"/>
      <w:szCs w:val="32"/>
      <w:lang w:val="en-US"/>
    </w:rPr>
  </w:style>
  <w:style w:type="paragraph" w:styleId="Ttulo2">
    <w:name w:val="heading 2"/>
    <w:basedOn w:val="Normal"/>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qFormat/>
    <w:rPr>
      <w:rFonts w:ascii="Arial" w:eastAsia="Arial" w:hAnsi="Arial" w:cs="Arial"/>
      <w:sz w:val="40"/>
      <w:szCs w:val="40"/>
    </w:rPr>
  </w:style>
  <w:style w:type="character" w:customStyle="1" w:styleId="Heading2Char">
    <w:name w:val="Heading 2 Char"/>
    <w:basedOn w:val="Fuentedeprrafopredeter"/>
    <w:uiPriority w:val="9"/>
    <w:qFormat/>
    <w:rPr>
      <w:rFonts w:ascii="Arial" w:eastAsia="Arial" w:hAnsi="Arial" w:cs="Arial"/>
      <w:sz w:val="34"/>
    </w:rPr>
  </w:style>
  <w:style w:type="character" w:customStyle="1" w:styleId="Heading3Char">
    <w:name w:val="Heading 3 Char"/>
    <w:basedOn w:val="Fuentedeprrafopredeter"/>
    <w:uiPriority w:val="9"/>
    <w:qFormat/>
    <w:rPr>
      <w:rFonts w:ascii="Arial" w:eastAsia="Arial" w:hAnsi="Arial" w:cs="Arial"/>
      <w:sz w:val="30"/>
      <w:szCs w:val="30"/>
    </w:rPr>
  </w:style>
  <w:style w:type="character" w:customStyle="1" w:styleId="Heading4Char">
    <w:name w:val="Heading 4 Char"/>
    <w:basedOn w:val="Fuentedeprrafopredeter"/>
    <w:uiPriority w:val="9"/>
    <w:qFormat/>
    <w:rPr>
      <w:rFonts w:ascii="Arial" w:eastAsia="Arial" w:hAnsi="Arial" w:cs="Arial"/>
      <w:b/>
      <w:bCs/>
      <w:sz w:val="26"/>
      <w:szCs w:val="26"/>
    </w:rPr>
  </w:style>
  <w:style w:type="character" w:customStyle="1" w:styleId="Heading5Char">
    <w:name w:val="Heading 5 Char"/>
    <w:basedOn w:val="Fuentedeprrafopredeter"/>
    <w:uiPriority w:val="9"/>
    <w:qFormat/>
    <w:rPr>
      <w:rFonts w:ascii="Arial" w:eastAsia="Arial" w:hAnsi="Arial" w:cs="Arial"/>
      <w:b/>
      <w:bCs/>
      <w:sz w:val="24"/>
      <w:szCs w:val="24"/>
    </w:rPr>
  </w:style>
  <w:style w:type="character" w:customStyle="1" w:styleId="Heading6Char">
    <w:name w:val="Heading 6 Char"/>
    <w:basedOn w:val="Fuentedeprrafopredeter"/>
    <w:uiPriority w:val="9"/>
    <w:qFormat/>
    <w:rPr>
      <w:rFonts w:ascii="Arial" w:eastAsia="Arial" w:hAnsi="Arial" w:cs="Arial"/>
      <w:b/>
      <w:bCs/>
      <w:sz w:val="22"/>
      <w:szCs w:val="22"/>
    </w:rPr>
  </w:style>
  <w:style w:type="character" w:customStyle="1" w:styleId="Heading7Char">
    <w:name w:val="Heading 7 Char"/>
    <w:basedOn w:val="Fuentedeprrafopredeter"/>
    <w:uiPriority w:val="9"/>
    <w:qFormat/>
    <w:rPr>
      <w:rFonts w:ascii="Arial" w:eastAsia="Arial" w:hAnsi="Arial" w:cs="Arial"/>
      <w:b/>
      <w:bCs/>
      <w:i/>
      <w:iCs/>
      <w:sz w:val="22"/>
      <w:szCs w:val="22"/>
    </w:rPr>
  </w:style>
  <w:style w:type="character" w:customStyle="1" w:styleId="Heading8Char">
    <w:name w:val="Heading 8 Char"/>
    <w:basedOn w:val="Fuentedeprrafopredeter"/>
    <w:uiPriority w:val="9"/>
    <w:qFormat/>
    <w:rPr>
      <w:rFonts w:ascii="Arial" w:eastAsia="Arial" w:hAnsi="Arial" w:cs="Arial"/>
      <w:i/>
      <w:iCs/>
      <w:sz w:val="22"/>
      <w:szCs w:val="22"/>
    </w:rPr>
  </w:style>
  <w:style w:type="character" w:customStyle="1" w:styleId="Heading9Char">
    <w:name w:val="Heading 9 Char"/>
    <w:basedOn w:val="Fuentedeprrafopredeter"/>
    <w:uiPriority w:val="9"/>
    <w:qFormat/>
    <w:rPr>
      <w:rFonts w:ascii="Arial" w:eastAsia="Arial" w:hAnsi="Arial" w:cs="Arial"/>
      <w:i/>
      <w:iCs/>
      <w:sz w:val="21"/>
      <w:szCs w:val="21"/>
    </w:rPr>
  </w:style>
  <w:style w:type="character" w:customStyle="1" w:styleId="TitleChar">
    <w:name w:val="Title Char"/>
    <w:basedOn w:val="Fuentedeprrafopredeter"/>
    <w:uiPriority w:val="10"/>
    <w:qFormat/>
    <w:rPr>
      <w:sz w:val="48"/>
      <w:szCs w:val="48"/>
    </w:rPr>
  </w:style>
  <w:style w:type="character" w:customStyle="1" w:styleId="SubtitleChar">
    <w:name w:val="Subtitle Char"/>
    <w:basedOn w:val="Fuentedeprrafopredete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Fuentedeprrafopredeter"/>
    <w:uiPriority w:val="99"/>
    <w:qFormat/>
  </w:style>
  <w:style w:type="character" w:customStyle="1" w:styleId="FooterChar">
    <w:name w:val="Footer Char"/>
    <w:basedOn w:val="Fuentedeprrafopredete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EnlacedeInternet">
    <w:name w:val="Enlace de Internet"/>
    <w:basedOn w:val="Fuentedeprrafopredeter"/>
    <w:uiPriority w:val="99"/>
    <w:unhideWhenUsed/>
    <w:rPr>
      <w:color w:val="0563C1" w:themeColor="hyperlink"/>
      <w:u w:val="single"/>
    </w:rPr>
  </w:style>
  <w:style w:type="character" w:customStyle="1" w:styleId="Ttulo1Car">
    <w:name w:val="Título 1 Car"/>
    <w:basedOn w:val="Fuentedeprrafopredeter"/>
    <w:uiPriority w:val="9"/>
    <w:qFormat/>
    <w:rPr>
      <w:rFonts w:ascii="Calibri Light" w:eastAsia="Calibri Light" w:hAnsi="Calibri Light" w:cs="Calibri Light"/>
      <w:color w:val="2E74B5" w:themeColor="accent1" w:themeShade="BF"/>
      <w:sz w:val="32"/>
      <w:szCs w:val="32"/>
      <w:lang w:val="en-US"/>
    </w:rPr>
  </w:style>
  <w:style w:type="character" w:customStyle="1" w:styleId="EncabezadoCar">
    <w:name w:val="Encabezado Car"/>
    <w:basedOn w:val="Fuentedeprrafopredeter"/>
    <w:uiPriority w:val="99"/>
    <w:qFormat/>
  </w:style>
  <w:style w:type="character" w:customStyle="1" w:styleId="PiedepginaCar">
    <w:name w:val="Pie de página Car"/>
    <w:basedOn w:val="Fuentedeprrafopredeter"/>
    <w:uiPriority w:val="99"/>
    <w:qFormat/>
  </w:style>
  <w:style w:type="character" w:customStyle="1" w:styleId="TextodegloboCar">
    <w:name w:val="Texto de globo Car"/>
    <w:basedOn w:val="Fuentedeprrafopredeter"/>
    <w:uiPriority w:val="99"/>
    <w:semiHidden/>
    <w:qFormat/>
    <w:rPr>
      <w:rFonts w:ascii="Tahoma" w:hAnsi="Tahoma" w:cs="Tahoma"/>
      <w:sz w:val="16"/>
      <w:szCs w:val="16"/>
    </w:rPr>
  </w:style>
  <w:style w:type="character" w:customStyle="1" w:styleId="HTMLconformatoprevioCar">
    <w:name w:val="HTML con formato previo Car"/>
    <w:basedOn w:val="Fuentedeprrafopredeter"/>
    <w:uiPriority w:val="99"/>
    <w:semiHidden/>
    <w:qFormat/>
    <w:rPr>
      <w:rFonts w:ascii="Courier New" w:eastAsia="Times New Roman" w:hAnsi="Courier New" w:cs="Courier New"/>
      <w:sz w:val="20"/>
      <w:szCs w:val="20"/>
      <w:lang w:eastAsia="es-ES"/>
    </w:rPr>
  </w:style>
  <w:style w:type="character" w:customStyle="1" w:styleId="label">
    <w:name w:val="label"/>
    <w:basedOn w:val="Fuentedeprrafopredeter"/>
    <w:qFormat/>
  </w:style>
  <w:style w:type="character" w:customStyle="1" w:styleId="value">
    <w:name w:val="value"/>
    <w:basedOn w:val="Fuentedeprrafopredeter"/>
    <w:qFormat/>
  </w:style>
  <w:style w:type="character" w:customStyle="1" w:styleId="Enlacedelndice">
    <w:name w:val="Enlace del índice"/>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semiHidden/>
    <w:unhideWhenUsed/>
    <w:qFormat/>
    <w:pPr>
      <w:spacing w:line="276" w:lineRule="auto"/>
    </w:pPr>
    <w:rPr>
      <w:b/>
      <w:bCs/>
      <w:color w:val="5B9BD5" w:themeColor="accent1"/>
      <w:sz w:val="18"/>
      <w:szCs w:val="18"/>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pPr>
      <w:ind w:left="720"/>
      <w:contextualSpacing/>
    </w:pPr>
  </w:style>
  <w:style w:type="paragraph" w:styleId="Sinespaciado">
    <w:name w:val="No Spacing"/>
    <w:uiPriority w:val="1"/>
    <w:qFormat/>
  </w:style>
  <w:style w:type="paragraph" w:styleId="Puesto">
    <w:name w:val="Title"/>
    <w:basedOn w:val="Normal"/>
    <w:uiPriority w:val="10"/>
    <w:qFormat/>
    <w:pPr>
      <w:spacing w:before="300" w:after="200"/>
      <w:contextualSpacing/>
    </w:pPr>
    <w:rPr>
      <w:sz w:val="48"/>
      <w:szCs w:val="48"/>
    </w:rPr>
  </w:style>
  <w:style w:type="paragraph" w:styleId="Subttulo">
    <w:name w:val="Subtitle"/>
    <w:basedOn w:val="Normal"/>
    <w:uiPriority w:val="11"/>
    <w:qFormat/>
    <w:pPr>
      <w:spacing w:before="200" w:after="200"/>
    </w:pPr>
    <w:rPr>
      <w:sz w:val="24"/>
      <w:szCs w:val="24"/>
    </w:rPr>
  </w:style>
  <w:style w:type="paragraph" w:styleId="Cita">
    <w:name w:val="Quote"/>
    <w:basedOn w:val="Normal"/>
    <w:uiPriority w:val="29"/>
    <w:qFormat/>
    <w:pPr>
      <w:ind w:left="720" w:right="720"/>
    </w:pPr>
    <w:rPr>
      <w:i/>
    </w:rPr>
  </w:style>
  <w:style w:type="paragraph" w:styleId="Citadestacada">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Textonotapie">
    <w:name w:val="footnote text"/>
    <w:basedOn w:val="Normal"/>
    <w:uiPriority w:val="99"/>
    <w:semiHidden/>
    <w:unhideWhenUsed/>
    <w:pPr>
      <w:spacing w:after="40" w:line="240" w:lineRule="auto"/>
    </w:pPr>
    <w:rPr>
      <w:sz w:val="18"/>
    </w:rPr>
  </w:style>
  <w:style w:type="paragraph" w:styleId="Textonotaalfinal">
    <w:name w:val="endnote text"/>
    <w:basedOn w:val="Normal"/>
    <w:uiPriority w:val="99"/>
    <w:semiHidden/>
    <w:unhideWhenUsed/>
    <w:pPr>
      <w:spacing w:after="0" w:line="240" w:lineRule="auto"/>
    </w:pPr>
    <w:rPr>
      <w:sz w:val="20"/>
    </w:rPr>
  </w:style>
  <w:style w:type="paragraph" w:styleId="TDC1">
    <w:name w:val="toc 1"/>
    <w:basedOn w:val="Normal"/>
    <w:uiPriority w:val="39"/>
    <w:unhideWhenUsed/>
    <w:pPr>
      <w:spacing w:after="57"/>
    </w:pPr>
  </w:style>
  <w:style w:type="paragraph" w:styleId="TDC2">
    <w:name w:val="toc 2"/>
    <w:basedOn w:val="Normal"/>
    <w:uiPriority w:val="39"/>
    <w:unhideWhenUsed/>
    <w:pPr>
      <w:spacing w:after="57"/>
      <w:ind w:left="283"/>
    </w:pPr>
  </w:style>
  <w:style w:type="paragraph" w:styleId="TDC3">
    <w:name w:val="toc 3"/>
    <w:basedOn w:val="Normal"/>
    <w:uiPriority w:val="39"/>
    <w:unhideWhenUsed/>
    <w:pPr>
      <w:spacing w:after="57"/>
      <w:ind w:left="567"/>
    </w:pPr>
  </w:style>
  <w:style w:type="paragraph" w:styleId="TDC4">
    <w:name w:val="toc 4"/>
    <w:basedOn w:val="Normal"/>
    <w:uiPriority w:val="39"/>
    <w:unhideWhenUsed/>
    <w:pPr>
      <w:spacing w:after="57"/>
      <w:ind w:left="850"/>
    </w:pPr>
  </w:style>
  <w:style w:type="paragraph" w:styleId="TDC5">
    <w:name w:val="toc 5"/>
    <w:basedOn w:val="Normal"/>
    <w:uiPriority w:val="39"/>
    <w:unhideWhenUsed/>
    <w:pPr>
      <w:spacing w:after="57"/>
      <w:ind w:left="1134"/>
    </w:pPr>
  </w:style>
  <w:style w:type="paragraph" w:styleId="TDC6">
    <w:name w:val="toc 6"/>
    <w:basedOn w:val="Normal"/>
    <w:uiPriority w:val="39"/>
    <w:unhideWhenUsed/>
    <w:pPr>
      <w:spacing w:after="57"/>
      <w:ind w:left="1417"/>
    </w:pPr>
  </w:style>
  <w:style w:type="paragraph" w:styleId="TDC7">
    <w:name w:val="toc 7"/>
    <w:basedOn w:val="Normal"/>
    <w:uiPriority w:val="39"/>
    <w:unhideWhenUsed/>
    <w:pPr>
      <w:spacing w:after="57"/>
      <w:ind w:left="1701"/>
    </w:pPr>
  </w:style>
  <w:style w:type="paragraph" w:styleId="TDC8">
    <w:name w:val="toc 8"/>
    <w:basedOn w:val="Normal"/>
    <w:uiPriority w:val="39"/>
    <w:unhideWhenUsed/>
    <w:pPr>
      <w:spacing w:after="57"/>
      <w:ind w:left="1984"/>
    </w:pPr>
  </w:style>
  <w:style w:type="paragraph" w:styleId="TDC9">
    <w:name w:val="toc 9"/>
    <w:basedOn w:val="Normal"/>
    <w:uiPriority w:val="39"/>
    <w:unhideWhenUsed/>
    <w:pPr>
      <w:spacing w:after="57"/>
      <w:ind w:left="2268"/>
    </w:pPr>
  </w:style>
  <w:style w:type="paragraph" w:styleId="TtulodeTDC">
    <w:name w:val="TOC Heading"/>
    <w:uiPriority w:val="39"/>
    <w:unhideWhenUsed/>
    <w:qFormat/>
    <w:pPr>
      <w:spacing w:after="160" w:line="259" w:lineRule="auto"/>
    </w:pPr>
  </w:style>
  <w:style w:type="paragraph" w:styleId="Bibliografa">
    <w:name w:val="Bibliography"/>
    <w:basedOn w:val="Normal"/>
    <w:uiPriority w:val="37"/>
    <w:unhideWhenUsed/>
    <w:qFormat/>
  </w:style>
  <w:style w:type="paragraph" w:customStyle="1" w:styleId="Cabeceraypie">
    <w:name w:val="Cabecera y pie"/>
    <w:basedOn w:val="Normal"/>
    <w:qFormat/>
  </w:style>
  <w:style w:type="paragraph" w:styleId="Encabezado">
    <w:name w:val="header"/>
    <w:basedOn w:val="Normal"/>
    <w:unhideWhenUsed/>
    <w:pPr>
      <w:tabs>
        <w:tab w:val="center" w:pos="4419"/>
        <w:tab w:val="right" w:pos="8838"/>
      </w:tabs>
      <w:spacing w:after="0" w:line="240" w:lineRule="auto"/>
    </w:pPr>
  </w:style>
  <w:style w:type="paragraph" w:styleId="Piedepgina">
    <w:name w:val="footer"/>
    <w:basedOn w:val="Normal"/>
    <w:unhideWhenUsed/>
    <w:pPr>
      <w:tabs>
        <w:tab w:val="center" w:pos="4419"/>
        <w:tab w:val="right" w:pos="8838"/>
      </w:tabs>
      <w:spacing w:after="0" w:line="240" w:lineRule="auto"/>
    </w:pPr>
  </w:style>
  <w:style w:type="paragraph" w:styleId="Textodeglobo">
    <w:name w:val="Balloon Text"/>
    <w:basedOn w:val="Normal"/>
    <w:uiPriority w:val="99"/>
    <w:semiHidden/>
    <w:unhideWhenUsed/>
    <w:qFormat/>
    <w:pPr>
      <w:spacing w:after="0" w:line="240" w:lineRule="auto"/>
    </w:pPr>
    <w:rPr>
      <w:rFonts w:ascii="Tahoma" w:hAnsi="Tahoma" w:cs="Tahoma"/>
      <w:sz w:val="16"/>
      <w:szCs w:val="16"/>
    </w:rPr>
  </w:style>
  <w:style w:type="paragraph" w:styleId="HTMLconformatoprevio">
    <w:name w:val="HTML Preformatted"/>
    <w:basedOn w:val="Normal"/>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bertzambrano@unesum.edu.ec" TargetMode="External"/><Relationship Id="rId13" Type="http://schemas.openxmlformats.org/officeDocument/2006/relationships/hyperlink" Target="http://200.37.16.212/bitstream/handle/usmp/2621/linares_cae.pdf?sequence=1&amp;isAllowed=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lberto.jarre@utm.edu.ec" TargetMode="External"/><Relationship Id="rId12" Type="http://schemas.openxmlformats.org/officeDocument/2006/relationships/hyperlink" Target="http://repositorio.utmachala.edu.ec/handle/48000/1403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fabrina.cedeno@utm.edu.ec" TargetMode="External"/><Relationship Id="rId11" Type="http://schemas.openxmlformats.org/officeDocument/2006/relationships/hyperlink" Target="https://doi.org/10.37117/s.v1i16.243" TargetMode="External"/><Relationship Id="rId5" Type="http://schemas.openxmlformats.org/officeDocument/2006/relationships/endnotes" Target="endnotes.xml"/><Relationship Id="rId15" Type="http://schemas.openxmlformats.org/officeDocument/2006/relationships/hyperlink" Target="http://repositorio.usil.edu.pe/bitstream/USIL/5136/4/2018_NEYRA_NUc3%91EZ_HELI_RENE.pdf" TargetMode="External"/><Relationship Id="rId10" Type="http://schemas.openxmlformats.org/officeDocument/2006/relationships/hyperlink" Target="mailto:fabrina.cedeno@utm.edu.e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rafael.jarre@utm.edu.ec" TargetMode="External"/><Relationship Id="rId14" Type="http://schemas.openxmlformats.org/officeDocument/2006/relationships/hyperlink" Target="https://riull.ull.es/xmlui/bitstream/handle/915/17348/El%20proceso%20de%20integracion%20de%20las%20TIC%20en%20un%20Instituto%20de%20Educacion%20Secundaria%20Un%20estudio%20de%20caso.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3940</Words>
  <Characters>21670</Characters>
  <Application>Microsoft Office Word</Application>
  <DocSecurity>0</DocSecurity>
  <Lines>180</Lines>
  <Paragraphs>51</Paragraphs>
  <ScaleCrop>false</ScaleCrop>
  <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Fabrina</dc:creator>
  <dc:description/>
  <cp:lastModifiedBy>Manuel J. Linares Alvaro</cp:lastModifiedBy>
  <cp:revision>26</cp:revision>
  <dcterms:created xsi:type="dcterms:W3CDTF">2020-12-18T21:11:00Z</dcterms:created>
  <dcterms:modified xsi:type="dcterms:W3CDTF">2020-12-19T12:41:00Z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