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DAF76" w14:textId="3333ED97" w:rsidR="001A77E3" w:rsidRPr="0030083F" w:rsidRDefault="00614981" w:rsidP="0030083F">
      <w:pPr>
        <w:spacing w:after="240" w:line="240" w:lineRule="auto"/>
        <w:jc w:val="center"/>
        <w:rPr>
          <w:rFonts w:ascii="Times New Roman" w:hAnsi="Times New Roman" w:cs="Times New Roman"/>
          <w:b/>
          <w:sz w:val="28"/>
          <w:szCs w:val="24"/>
          <w:lang w:val="es-EC"/>
        </w:rPr>
      </w:pPr>
      <w:bookmarkStart w:id="0" w:name="_GoBack"/>
      <w:bookmarkEnd w:id="0"/>
      <w:r w:rsidRPr="0030083F">
        <w:rPr>
          <w:rFonts w:ascii="Times New Roman" w:hAnsi="Times New Roman" w:cs="Times New Roman"/>
          <w:b/>
          <w:sz w:val="28"/>
          <w:szCs w:val="24"/>
          <w:lang w:val="es-EC"/>
        </w:rPr>
        <w:t>La gastronomía manabita generadora de una c</w:t>
      </w:r>
      <w:r w:rsidR="00705C15" w:rsidRPr="0030083F">
        <w:rPr>
          <w:rFonts w:ascii="Times New Roman" w:hAnsi="Times New Roman" w:cs="Times New Roman"/>
          <w:b/>
          <w:sz w:val="28"/>
          <w:szCs w:val="24"/>
          <w:lang w:val="es-EC"/>
        </w:rPr>
        <w:t>ultura alimentaria y</w:t>
      </w:r>
      <w:r w:rsidR="00237016" w:rsidRPr="0030083F">
        <w:rPr>
          <w:rFonts w:ascii="Times New Roman" w:hAnsi="Times New Roman" w:cs="Times New Roman"/>
          <w:b/>
          <w:sz w:val="28"/>
          <w:szCs w:val="24"/>
          <w:lang w:val="es-EC"/>
        </w:rPr>
        <w:t xml:space="preserve"> </w:t>
      </w:r>
      <w:r w:rsidRPr="0030083F">
        <w:rPr>
          <w:rFonts w:ascii="Times New Roman" w:hAnsi="Times New Roman" w:cs="Times New Roman"/>
          <w:b/>
          <w:sz w:val="28"/>
          <w:szCs w:val="24"/>
          <w:lang w:val="es-EC"/>
        </w:rPr>
        <w:t xml:space="preserve">el </w:t>
      </w:r>
      <w:r w:rsidR="00237016" w:rsidRPr="0030083F">
        <w:rPr>
          <w:rFonts w:ascii="Times New Roman" w:hAnsi="Times New Roman" w:cs="Times New Roman"/>
          <w:b/>
          <w:sz w:val="28"/>
          <w:szCs w:val="24"/>
          <w:lang w:val="es-EC"/>
        </w:rPr>
        <w:t xml:space="preserve">riesgo </w:t>
      </w:r>
      <w:r w:rsidR="00705C15" w:rsidRPr="0030083F">
        <w:rPr>
          <w:rFonts w:ascii="Times New Roman" w:hAnsi="Times New Roman" w:cs="Times New Roman"/>
          <w:b/>
          <w:sz w:val="28"/>
          <w:szCs w:val="24"/>
          <w:lang w:val="es-EC"/>
        </w:rPr>
        <w:t>de</w:t>
      </w:r>
      <w:r w:rsidR="006C0AB6" w:rsidRPr="0030083F">
        <w:rPr>
          <w:rFonts w:ascii="Times New Roman" w:hAnsi="Times New Roman" w:cs="Times New Roman"/>
          <w:b/>
          <w:sz w:val="28"/>
          <w:szCs w:val="24"/>
          <w:lang w:val="es-EC"/>
        </w:rPr>
        <w:t xml:space="preserve"> </w:t>
      </w:r>
      <w:r w:rsidR="00237016" w:rsidRPr="0030083F">
        <w:rPr>
          <w:rFonts w:ascii="Times New Roman" w:hAnsi="Times New Roman" w:cs="Times New Roman"/>
          <w:b/>
          <w:sz w:val="28"/>
          <w:szCs w:val="24"/>
          <w:lang w:val="es-EC"/>
        </w:rPr>
        <w:t>diabete</w:t>
      </w:r>
      <w:r w:rsidR="002D724B" w:rsidRPr="0030083F">
        <w:rPr>
          <w:rFonts w:ascii="Times New Roman" w:hAnsi="Times New Roman" w:cs="Times New Roman"/>
          <w:b/>
          <w:sz w:val="28"/>
          <w:szCs w:val="24"/>
          <w:lang w:val="es-EC"/>
        </w:rPr>
        <w:t>s</w:t>
      </w:r>
    </w:p>
    <w:p w14:paraId="16110EF9" w14:textId="77777777" w:rsidR="006748C0" w:rsidRPr="0030083F" w:rsidRDefault="006748C0" w:rsidP="0030083F">
      <w:pPr>
        <w:spacing w:after="240" w:line="240" w:lineRule="auto"/>
        <w:jc w:val="center"/>
        <w:rPr>
          <w:rFonts w:ascii="Times New Roman" w:hAnsi="Times New Roman" w:cs="Times New Roman"/>
          <w:b/>
          <w:sz w:val="28"/>
          <w:szCs w:val="24"/>
          <w:lang w:val="es-ES"/>
        </w:rPr>
      </w:pPr>
      <w:proofErr w:type="spellStart"/>
      <w:r w:rsidRPr="0030083F">
        <w:rPr>
          <w:rFonts w:ascii="Times New Roman" w:hAnsi="Times New Roman" w:cs="Times New Roman"/>
          <w:b/>
          <w:sz w:val="28"/>
          <w:szCs w:val="24"/>
          <w:lang w:val="es-ES"/>
        </w:rPr>
        <w:t>Food</w:t>
      </w:r>
      <w:proofErr w:type="spellEnd"/>
      <w:r w:rsidRPr="0030083F">
        <w:rPr>
          <w:rFonts w:ascii="Times New Roman" w:hAnsi="Times New Roman" w:cs="Times New Roman"/>
          <w:b/>
          <w:sz w:val="28"/>
          <w:szCs w:val="24"/>
          <w:lang w:val="es-ES"/>
        </w:rPr>
        <w:t xml:space="preserve"> culture and diabetes </w:t>
      </w:r>
      <w:proofErr w:type="spellStart"/>
      <w:r w:rsidRPr="0030083F">
        <w:rPr>
          <w:rFonts w:ascii="Times New Roman" w:hAnsi="Times New Roman" w:cs="Times New Roman"/>
          <w:b/>
          <w:sz w:val="28"/>
          <w:szCs w:val="24"/>
          <w:lang w:val="es-ES"/>
        </w:rPr>
        <w:t>risk</w:t>
      </w:r>
      <w:proofErr w:type="spellEnd"/>
    </w:p>
    <w:p w14:paraId="2778166A" w14:textId="77777777" w:rsidR="006748C0" w:rsidRPr="0030083F" w:rsidRDefault="00961341" w:rsidP="0030083F">
      <w:pPr>
        <w:spacing w:after="240" w:line="360" w:lineRule="auto"/>
        <w:jc w:val="center"/>
        <w:rPr>
          <w:rFonts w:ascii="Times New Roman" w:hAnsi="Times New Roman" w:cs="Times New Roman"/>
          <w:b/>
          <w:sz w:val="24"/>
          <w:szCs w:val="24"/>
          <w:lang w:val="es-ES"/>
        </w:rPr>
      </w:pPr>
      <w:r w:rsidRPr="0030083F">
        <w:rPr>
          <w:rFonts w:ascii="Times New Roman" w:hAnsi="Times New Roman" w:cs="Times New Roman"/>
          <w:b/>
          <w:sz w:val="24"/>
          <w:szCs w:val="24"/>
          <w:lang w:val="es-EC"/>
        </w:rPr>
        <w:t>Cultura alimentaria</w:t>
      </w:r>
      <w:r w:rsidR="007F4655" w:rsidRPr="0030083F">
        <w:rPr>
          <w:rFonts w:ascii="Times New Roman" w:hAnsi="Times New Roman" w:cs="Times New Roman"/>
          <w:b/>
          <w:sz w:val="24"/>
          <w:szCs w:val="24"/>
          <w:lang w:val="es-EC"/>
        </w:rPr>
        <w:t xml:space="preserve"> y riesgos</w:t>
      </w:r>
    </w:p>
    <w:p w14:paraId="45009D93" w14:textId="0F807458" w:rsidR="00705C15" w:rsidRPr="0030083F" w:rsidRDefault="00705C15" w:rsidP="0030083F">
      <w:pPr>
        <w:pStyle w:val="Sinespaciado"/>
        <w:rPr>
          <w:rFonts w:ascii="Times New Roman" w:hAnsi="Times New Roman" w:cs="Times New Roman"/>
          <w:sz w:val="20"/>
          <w:lang w:val="es-ES"/>
        </w:rPr>
      </w:pPr>
      <w:r w:rsidRPr="0030083F">
        <w:rPr>
          <w:rFonts w:ascii="Times New Roman" w:hAnsi="Times New Roman" w:cs="Times New Roman"/>
          <w:sz w:val="20"/>
          <w:lang w:val="es-ES"/>
        </w:rPr>
        <w:t>Roberth Zambrano Santos</w:t>
      </w:r>
      <w:r w:rsidR="00961341" w:rsidRPr="0030083F">
        <w:rPr>
          <w:rFonts w:ascii="Times New Roman" w:hAnsi="Times New Roman" w:cs="Times New Roman"/>
          <w:sz w:val="20"/>
          <w:lang w:val="es-ES"/>
        </w:rPr>
        <w:t>,</w:t>
      </w:r>
      <w:r w:rsidR="00BD41BD" w:rsidRPr="0030083F">
        <w:rPr>
          <w:rFonts w:ascii="Times New Roman" w:hAnsi="Times New Roman" w:cs="Times New Roman"/>
          <w:sz w:val="20"/>
          <w:lang w:val="es-419"/>
        </w:rPr>
        <w:t xml:space="preserve"> </w:t>
      </w:r>
      <w:r w:rsidR="009C5C30" w:rsidRPr="0030083F">
        <w:rPr>
          <w:rFonts w:ascii="Times New Roman" w:eastAsia="Times New Roman" w:hAnsi="Times New Roman" w:cs="Times New Roman"/>
          <w:sz w:val="20"/>
          <w:lang w:val="es-ES" w:eastAsia="es-ES"/>
        </w:rPr>
        <w:t>PhD</w:t>
      </w:r>
      <w:proofErr w:type="gramStart"/>
      <w:r w:rsidR="00BD41BD" w:rsidRPr="0030083F">
        <w:rPr>
          <w:rFonts w:ascii="Times New Roman" w:eastAsia="Times New Roman" w:hAnsi="Times New Roman" w:cs="Times New Roman"/>
          <w:sz w:val="20"/>
          <w:lang w:val="es-419" w:eastAsia="es-ES"/>
        </w:rPr>
        <w:t>.</w:t>
      </w:r>
      <w:r w:rsidR="00BD41BD" w:rsidRPr="0030083F">
        <w:rPr>
          <w:rFonts w:ascii="Times New Roman" w:eastAsia="Times New Roman" w:hAnsi="Times New Roman" w:cs="Times New Roman"/>
          <w:sz w:val="20"/>
          <w:vertAlign w:val="superscript"/>
          <w:lang w:val="es-419" w:eastAsia="es-ES"/>
        </w:rPr>
        <w:t>(</w:t>
      </w:r>
      <w:proofErr w:type="gramEnd"/>
      <w:r w:rsidR="00BD41BD" w:rsidRPr="0030083F">
        <w:rPr>
          <w:rFonts w:ascii="Times New Roman" w:eastAsia="Times New Roman" w:hAnsi="Times New Roman" w:cs="Times New Roman"/>
          <w:sz w:val="20"/>
          <w:vertAlign w:val="superscript"/>
          <w:lang w:val="es-419" w:eastAsia="es-ES"/>
        </w:rPr>
        <w:t>1)</w:t>
      </w:r>
      <w:r w:rsidR="00961341" w:rsidRPr="0030083F">
        <w:rPr>
          <w:rFonts w:ascii="Times New Roman" w:eastAsia="Times New Roman" w:hAnsi="Times New Roman" w:cs="Times New Roman"/>
          <w:sz w:val="20"/>
          <w:vertAlign w:val="superscript"/>
          <w:lang w:val="es-ES" w:eastAsia="es-ES"/>
        </w:rPr>
        <w:t xml:space="preserve"> </w:t>
      </w:r>
    </w:p>
    <w:p w14:paraId="43A9EBAA" w14:textId="4DFC0CC4" w:rsidR="00705C15" w:rsidRPr="0030083F" w:rsidRDefault="00705C15" w:rsidP="0030083F">
      <w:pPr>
        <w:pStyle w:val="Sinespaciado"/>
        <w:rPr>
          <w:rFonts w:ascii="Times New Roman" w:hAnsi="Times New Roman" w:cs="Times New Roman"/>
          <w:sz w:val="20"/>
          <w:lang w:val="es-EC"/>
        </w:rPr>
      </w:pPr>
      <w:r w:rsidRPr="0030083F">
        <w:rPr>
          <w:rFonts w:ascii="Times New Roman" w:hAnsi="Times New Roman" w:cs="Times New Roman"/>
          <w:sz w:val="20"/>
          <w:lang w:val="es-EC"/>
        </w:rPr>
        <w:t>Aida Macías Alvia</w:t>
      </w:r>
      <w:r w:rsidR="00961341" w:rsidRPr="0030083F">
        <w:rPr>
          <w:rFonts w:ascii="Times New Roman" w:hAnsi="Times New Roman" w:cs="Times New Roman"/>
          <w:sz w:val="20"/>
          <w:lang w:val="es-EC"/>
        </w:rPr>
        <w:t>,</w:t>
      </w:r>
      <w:r w:rsidR="009C5C30" w:rsidRPr="0030083F">
        <w:rPr>
          <w:rFonts w:ascii="Times New Roman" w:eastAsia="Times New Roman" w:hAnsi="Times New Roman" w:cs="Times New Roman"/>
          <w:sz w:val="20"/>
          <w:lang w:val="es-ES" w:eastAsia="es-ES"/>
        </w:rPr>
        <w:t xml:space="preserve"> </w:t>
      </w:r>
      <w:proofErr w:type="spellStart"/>
      <w:r w:rsidR="00BD41BD" w:rsidRPr="0030083F">
        <w:rPr>
          <w:rFonts w:ascii="Times New Roman" w:eastAsia="Times New Roman" w:hAnsi="Times New Roman" w:cs="Times New Roman"/>
          <w:sz w:val="20"/>
          <w:lang w:val="es-ES" w:eastAsia="es-ES"/>
        </w:rPr>
        <w:t>MSc</w:t>
      </w:r>
      <w:proofErr w:type="spellEnd"/>
      <w:proofErr w:type="gramStart"/>
      <w:r w:rsidR="00BD41BD" w:rsidRPr="0030083F">
        <w:rPr>
          <w:rFonts w:ascii="Times New Roman" w:eastAsia="Times New Roman" w:hAnsi="Times New Roman" w:cs="Times New Roman"/>
          <w:sz w:val="20"/>
          <w:lang w:val="es-ES" w:eastAsia="es-ES"/>
        </w:rPr>
        <w:t>.</w:t>
      </w:r>
      <w:r w:rsidR="00BD41BD" w:rsidRPr="0030083F">
        <w:rPr>
          <w:rFonts w:ascii="Times New Roman" w:eastAsia="Times New Roman" w:hAnsi="Times New Roman" w:cs="Times New Roman"/>
          <w:sz w:val="20"/>
          <w:vertAlign w:val="superscript"/>
          <w:lang w:val="es-419" w:eastAsia="es-ES"/>
        </w:rPr>
        <w:t>(</w:t>
      </w:r>
      <w:proofErr w:type="gramEnd"/>
      <w:r w:rsidR="00BD41BD" w:rsidRPr="0030083F">
        <w:rPr>
          <w:rFonts w:ascii="Times New Roman" w:eastAsia="Times New Roman" w:hAnsi="Times New Roman" w:cs="Times New Roman"/>
          <w:sz w:val="20"/>
          <w:vertAlign w:val="superscript"/>
          <w:lang w:val="es-419" w:eastAsia="es-ES"/>
        </w:rPr>
        <w:t>2)</w:t>
      </w:r>
      <w:r w:rsidR="009C5C30" w:rsidRPr="0030083F">
        <w:rPr>
          <w:rFonts w:ascii="Times New Roman" w:eastAsia="Times New Roman" w:hAnsi="Times New Roman" w:cs="Times New Roman"/>
          <w:sz w:val="20"/>
          <w:lang w:val="es-ES" w:eastAsia="es-ES"/>
        </w:rPr>
        <w:t xml:space="preserve"> </w:t>
      </w:r>
      <w:r w:rsidR="009C5C30" w:rsidRPr="0030083F">
        <w:rPr>
          <w:rFonts w:ascii="Times New Roman" w:hAnsi="Times New Roman" w:cs="Times New Roman"/>
          <w:sz w:val="20"/>
          <w:lang w:val="es-ES"/>
        </w:rPr>
        <w:t xml:space="preserve"> </w:t>
      </w:r>
    </w:p>
    <w:p w14:paraId="68C2BBBC" w14:textId="598288E7" w:rsidR="00705C15" w:rsidRPr="0030083F" w:rsidRDefault="00705C15" w:rsidP="0030083F">
      <w:pPr>
        <w:pStyle w:val="Sinespaciado"/>
        <w:rPr>
          <w:rFonts w:ascii="Times New Roman" w:hAnsi="Times New Roman" w:cs="Times New Roman"/>
          <w:sz w:val="20"/>
          <w:lang w:val="es-EC"/>
        </w:rPr>
      </w:pPr>
      <w:r w:rsidRPr="0030083F">
        <w:rPr>
          <w:rFonts w:ascii="Times New Roman" w:hAnsi="Times New Roman" w:cs="Times New Roman"/>
          <w:sz w:val="20"/>
          <w:lang w:val="es-EC"/>
        </w:rPr>
        <w:t>Mabel Sánchez Rodríguez</w:t>
      </w:r>
      <w:r w:rsidR="00961341" w:rsidRPr="0030083F">
        <w:rPr>
          <w:rFonts w:ascii="Times New Roman" w:hAnsi="Times New Roman" w:cs="Times New Roman"/>
          <w:sz w:val="20"/>
          <w:lang w:val="es-EC"/>
        </w:rPr>
        <w:t>,</w:t>
      </w:r>
      <w:r w:rsidR="009C5C30" w:rsidRPr="0030083F">
        <w:rPr>
          <w:rFonts w:ascii="Times New Roman" w:hAnsi="Times New Roman" w:cs="Times New Roman"/>
          <w:sz w:val="20"/>
          <w:lang w:val="es-EC"/>
        </w:rPr>
        <w:t xml:space="preserve"> </w:t>
      </w:r>
      <w:proofErr w:type="spellStart"/>
      <w:r w:rsidR="009C5C30" w:rsidRPr="0030083F">
        <w:rPr>
          <w:rFonts w:ascii="Times New Roman" w:eastAsia="Times New Roman" w:hAnsi="Times New Roman" w:cs="Times New Roman"/>
          <w:sz w:val="20"/>
          <w:lang w:val="es-ES" w:eastAsia="es-ES"/>
        </w:rPr>
        <w:t>MSc</w:t>
      </w:r>
      <w:proofErr w:type="spellEnd"/>
      <w:proofErr w:type="gramStart"/>
      <w:r w:rsidR="009C5C30" w:rsidRPr="0030083F">
        <w:rPr>
          <w:rFonts w:ascii="Times New Roman" w:eastAsia="Times New Roman" w:hAnsi="Times New Roman" w:cs="Times New Roman"/>
          <w:sz w:val="20"/>
          <w:lang w:val="es-ES" w:eastAsia="es-ES"/>
        </w:rPr>
        <w:t>.</w:t>
      </w:r>
      <w:r w:rsidR="00BD41BD" w:rsidRPr="0030083F">
        <w:rPr>
          <w:rFonts w:ascii="Times New Roman" w:eastAsia="Times New Roman" w:hAnsi="Times New Roman" w:cs="Times New Roman"/>
          <w:sz w:val="20"/>
          <w:vertAlign w:val="superscript"/>
          <w:lang w:val="es-419" w:eastAsia="es-ES"/>
        </w:rPr>
        <w:t>(</w:t>
      </w:r>
      <w:proofErr w:type="gramEnd"/>
      <w:r w:rsidR="00BD41BD" w:rsidRPr="0030083F">
        <w:rPr>
          <w:rFonts w:ascii="Times New Roman" w:eastAsia="Times New Roman" w:hAnsi="Times New Roman" w:cs="Times New Roman"/>
          <w:sz w:val="20"/>
          <w:vertAlign w:val="superscript"/>
          <w:lang w:val="es-419" w:eastAsia="es-ES"/>
        </w:rPr>
        <w:t>3)</w:t>
      </w:r>
      <w:r w:rsidR="009C5C30" w:rsidRPr="0030083F">
        <w:rPr>
          <w:rFonts w:ascii="Times New Roman" w:eastAsia="Times New Roman" w:hAnsi="Times New Roman" w:cs="Times New Roman"/>
          <w:sz w:val="20"/>
          <w:lang w:val="es-ES" w:eastAsia="es-ES"/>
        </w:rPr>
        <w:t xml:space="preserve"> </w:t>
      </w:r>
      <w:r w:rsidR="009C5C30" w:rsidRPr="0030083F">
        <w:rPr>
          <w:rFonts w:ascii="Times New Roman" w:hAnsi="Times New Roman" w:cs="Times New Roman"/>
          <w:sz w:val="20"/>
          <w:lang w:val="es-ES"/>
        </w:rPr>
        <w:t xml:space="preserve"> </w:t>
      </w:r>
    </w:p>
    <w:p w14:paraId="11A9197B" w14:textId="7FCAED9D" w:rsidR="009C5C30" w:rsidRDefault="009C5C30" w:rsidP="0030083F">
      <w:pPr>
        <w:pStyle w:val="Sinespaciado"/>
        <w:rPr>
          <w:rFonts w:ascii="Times New Roman" w:hAnsi="Times New Roman" w:cs="Times New Roman"/>
          <w:sz w:val="20"/>
        </w:rPr>
      </w:pPr>
      <w:proofErr w:type="spellStart"/>
      <w:r w:rsidRPr="0030083F">
        <w:rPr>
          <w:rFonts w:ascii="Times New Roman" w:hAnsi="Times New Roman" w:cs="Times New Roman"/>
          <w:sz w:val="20"/>
        </w:rPr>
        <w:t>Margoth</w:t>
      </w:r>
      <w:proofErr w:type="spellEnd"/>
      <w:r w:rsidRPr="0030083F">
        <w:rPr>
          <w:rFonts w:ascii="Times New Roman" w:hAnsi="Times New Roman" w:cs="Times New Roman"/>
          <w:sz w:val="20"/>
        </w:rPr>
        <w:t xml:space="preserve"> Villegas </w:t>
      </w:r>
      <w:proofErr w:type="spellStart"/>
      <w:r w:rsidRPr="0030083F">
        <w:rPr>
          <w:rFonts w:ascii="Times New Roman" w:hAnsi="Times New Roman" w:cs="Times New Roman"/>
          <w:sz w:val="20"/>
        </w:rPr>
        <w:t>Chiriboga</w:t>
      </w:r>
      <w:proofErr w:type="spellEnd"/>
      <w:r w:rsidR="00961341" w:rsidRPr="0030083F">
        <w:rPr>
          <w:rFonts w:ascii="Times New Roman" w:hAnsi="Times New Roman" w:cs="Times New Roman"/>
          <w:sz w:val="20"/>
        </w:rPr>
        <w:t>,</w:t>
      </w:r>
      <w:r w:rsidRPr="0030083F">
        <w:rPr>
          <w:rFonts w:ascii="Times New Roman" w:hAnsi="Times New Roman" w:cs="Times New Roman"/>
          <w:sz w:val="20"/>
          <w:lang w:eastAsia="es-ES"/>
        </w:rPr>
        <w:t xml:space="preserve"> MSc</w:t>
      </w:r>
      <w:proofErr w:type="gramStart"/>
      <w:r w:rsidRPr="0030083F">
        <w:rPr>
          <w:rFonts w:ascii="Times New Roman" w:hAnsi="Times New Roman" w:cs="Times New Roman"/>
          <w:sz w:val="20"/>
          <w:lang w:eastAsia="es-ES"/>
        </w:rPr>
        <w:t>.</w:t>
      </w:r>
      <w:r w:rsidR="00BD41BD" w:rsidRPr="0030083F">
        <w:rPr>
          <w:rFonts w:ascii="Times New Roman" w:hAnsi="Times New Roman" w:cs="Times New Roman"/>
          <w:sz w:val="20"/>
          <w:vertAlign w:val="superscript"/>
          <w:lang w:val="es-419" w:eastAsia="es-ES"/>
        </w:rPr>
        <w:t>(</w:t>
      </w:r>
      <w:proofErr w:type="gramEnd"/>
      <w:r w:rsidR="00BD41BD" w:rsidRPr="0030083F">
        <w:rPr>
          <w:rFonts w:ascii="Times New Roman" w:hAnsi="Times New Roman" w:cs="Times New Roman"/>
          <w:sz w:val="20"/>
          <w:vertAlign w:val="superscript"/>
          <w:lang w:val="es-419" w:eastAsia="es-ES"/>
        </w:rPr>
        <w:t>4)</w:t>
      </w:r>
      <w:r w:rsidRPr="0030083F">
        <w:rPr>
          <w:rFonts w:ascii="Times New Roman" w:hAnsi="Times New Roman" w:cs="Times New Roman"/>
          <w:sz w:val="20"/>
          <w:lang w:eastAsia="es-ES"/>
        </w:rPr>
        <w:t xml:space="preserve"> </w:t>
      </w:r>
      <w:r w:rsidRPr="0030083F">
        <w:rPr>
          <w:rFonts w:ascii="Times New Roman" w:hAnsi="Times New Roman" w:cs="Times New Roman"/>
          <w:sz w:val="20"/>
        </w:rPr>
        <w:t xml:space="preserve"> </w:t>
      </w:r>
    </w:p>
    <w:p w14:paraId="48982267" w14:textId="77777777" w:rsidR="0030083F" w:rsidRPr="0030083F" w:rsidRDefault="0030083F" w:rsidP="0030083F">
      <w:pPr>
        <w:pStyle w:val="Sinespaciado"/>
        <w:rPr>
          <w:rFonts w:ascii="Times New Roman" w:hAnsi="Times New Roman" w:cs="Times New Roman"/>
          <w:b/>
          <w:color w:val="000000"/>
          <w:sz w:val="20"/>
        </w:rPr>
      </w:pPr>
    </w:p>
    <w:p w14:paraId="1F4332AA" w14:textId="794A408E" w:rsidR="00270D33" w:rsidRPr="0030083F" w:rsidRDefault="00270D33" w:rsidP="0030083F">
      <w:pPr>
        <w:pStyle w:val="Sinespaciado"/>
        <w:rPr>
          <w:rFonts w:ascii="Times New Roman" w:hAnsi="Times New Roman" w:cs="Times New Roman"/>
          <w:sz w:val="20"/>
          <w:szCs w:val="20"/>
          <w:lang w:val="es-ES"/>
        </w:rPr>
      </w:pPr>
      <w:r w:rsidRPr="0030083F">
        <w:rPr>
          <w:rFonts w:ascii="Times New Roman" w:hAnsi="Times New Roman" w:cs="Times New Roman"/>
          <w:sz w:val="20"/>
          <w:szCs w:val="20"/>
          <w:lang w:val="es-ES"/>
        </w:rPr>
        <w:t xml:space="preserve">(1)  Universidad Estatal del Sur de Manabí, </w:t>
      </w:r>
      <w:r w:rsidR="00BD41BD" w:rsidRPr="0030083F">
        <w:rPr>
          <w:rFonts w:ascii="Times New Roman" w:hAnsi="Times New Roman" w:cs="Times New Roman"/>
          <w:sz w:val="20"/>
          <w:szCs w:val="20"/>
          <w:lang w:val="es-419"/>
        </w:rPr>
        <w:t xml:space="preserve">Jipijapa, </w:t>
      </w:r>
      <w:r w:rsidRPr="0030083F">
        <w:rPr>
          <w:rFonts w:ascii="Times New Roman" w:hAnsi="Times New Roman" w:cs="Times New Roman"/>
          <w:sz w:val="20"/>
          <w:szCs w:val="20"/>
          <w:lang w:val="es-ES"/>
        </w:rPr>
        <w:t xml:space="preserve">Ecuador. </w:t>
      </w:r>
      <w:proofErr w:type="gramStart"/>
      <w:r w:rsidRPr="0030083F">
        <w:rPr>
          <w:rFonts w:ascii="Times New Roman" w:hAnsi="Times New Roman" w:cs="Times New Roman"/>
          <w:sz w:val="20"/>
          <w:szCs w:val="20"/>
          <w:lang w:val="es-ES"/>
        </w:rPr>
        <w:t>email</w:t>
      </w:r>
      <w:proofErr w:type="gramEnd"/>
      <w:r w:rsidRPr="0030083F">
        <w:rPr>
          <w:rFonts w:ascii="Times New Roman" w:hAnsi="Times New Roman" w:cs="Times New Roman"/>
          <w:sz w:val="20"/>
          <w:szCs w:val="20"/>
          <w:lang w:val="es-ES"/>
        </w:rPr>
        <w:t xml:space="preserve">: </w:t>
      </w:r>
      <w:hyperlink r:id="rId8" w:history="1">
        <w:r w:rsidRPr="0030083F">
          <w:rPr>
            <w:rStyle w:val="Hipervnculo"/>
            <w:rFonts w:ascii="Times New Roman" w:hAnsi="Times New Roman" w:cs="Times New Roman"/>
            <w:sz w:val="20"/>
            <w:szCs w:val="20"/>
            <w:lang w:val="es-ES"/>
          </w:rPr>
          <w:t>rzambranosantos@yahoo.es</w:t>
        </w:r>
      </w:hyperlink>
      <w:r w:rsidRPr="0030083F">
        <w:rPr>
          <w:rFonts w:ascii="Times New Roman" w:hAnsi="Times New Roman" w:cs="Times New Roman"/>
          <w:sz w:val="20"/>
          <w:szCs w:val="20"/>
          <w:lang w:val="es-ES"/>
        </w:rPr>
        <w:t xml:space="preserve"> </w:t>
      </w:r>
    </w:p>
    <w:p w14:paraId="6FFB7953" w14:textId="4EE66F57" w:rsidR="00270D33" w:rsidRPr="0030083F" w:rsidRDefault="00270D33" w:rsidP="0030083F">
      <w:pPr>
        <w:pStyle w:val="Sinespaciado"/>
        <w:rPr>
          <w:rFonts w:ascii="Times New Roman" w:hAnsi="Times New Roman" w:cs="Times New Roman"/>
          <w:sz w:val="20"/>
          <w:szCs w:val="20"/>
          <w:lang w:val="es-ES"/>
        </w:rPr>
      </w:pPr>
      <w:r w:rsidRPr="0030083F">
        <w:rPr>
          <w:rFonts w:ascii="Times New Roman" w:hAnsi="Times New Roman" w:cs="Times New Roman"/>
          <w:sz w:val="20"/>
          <w:szCs w:val="20"/>
          <w:lang w:val="es-ES"/>
        </w:rPr>
        <w:t xml:space="preserve">(2) Universidad Laica Eloy Alfaro de Manabí, </w:t>
      </w:r>
      <w:r w:rsidR="00BD41BD" w:rsidRPr="0030083F">
        <w:rPr>
          <w:rFonts w:ascii="Times New Roman" w:hAnsi="Times New Roman" w:cs="Times New Roman"/>
          <w:sz w:val="20"/>
          <w:szCs w:val="20"/>
          <w:lang w:val="es-419"/>
        </w:rPr>
        <w:t xml:space="preserve">Jupijapa, </w:t>
      </w:r>
      <w:r w:rsidRPr="0030083F">
        <w:rPr>
          <w:rFonts w:ascii="Times New Roman" w:hAnsi="Times New Roman" w:cs="Times New Roman"/>
          <w:sz w:val="20"/>
          <w:szCs w:val="20"/>
          <w:lang w:val="es-ES"/>
        </w:rPr>
        <w:t xml:space="preserve">Ecuador. </w:t>
      </w:r>
      <w:proofErr w:type="gramStart"/>
      <w:r w:rsidRPr="0030083F">
        <w:rPr>
          <w:rFonts w:ascii="Times New Roman" w:hAnsi="Times New Roman" w:cs="Times New Roman"/>
          <w:sz w:val="20"/>
          <w:szCs w:val="20"/>
          <w:lang w:val="es-ES"/>
        </w:rPr>
        <w:t>email</w:t>
      </w:r>
      <w:proofErr w:type="gramEnd"/>
      <w:r w:rsidRPr="0030083F">
        <w:rPr>
          <w:rFonts w:ascii="Times New Roman" w:hAnsi="Times New Roman" w:cs="Times New Roman"/>
          <w:sz w:val="20"/>
          <w:szCs w:val="20"/>
          <w:lang w:val="es-ES"/>
        </w:rPr>
        <w:t xml:space="preserve">: </w:t>
      </w:r>
      <w:hyperlink r:id="rId9" w:history="1">
        <w:r w:rsidRPr="0030083F">
          <w:rPr>
            <w:rStyle w:val="Hipervnculo"/>
            <w:rFonts w:ascii="Times New Roman" w:hAnsi="Times New Roman" w:cs="Times New Roman"/>
            <w:sz w:val="20"/>
            <w:szCs w:val="20"/>
            <w:lang w:val="es-ES"/>
          </w:rPr>
          <w:t>daniel.vite@hotmail.es</w:t>
        </w:r>
      </w:hyperlink>
      <w:r w:rsidRPr="0030083F">
        <w:rPr>
          <w:rFonts w:ascii="Times New Roman" w:hAnsi="Times New Roman" w:cs="Times New Roman"/>
          <w:sz w:val="20"/>
          <w:szCs w:val="20"/>
          <w:lang w:val="es-ES"/>
        </w:rPr>
        <w:t xml:space="preserve"> </w:t>
      </w:r>
    </w:p>
    <w:p w14:paraId="1D6A4FA1" w14:textId="77777777" w:rsidR="00270D33" w:rsidRPr="0030083F" w:rsidRDefault="00270D33" w:rsidP="0030083F">
      <w:pPr>
        <w:pStyle w:val="Sinespaciado"/>
        <w:rPr>
          <w:rFonts w:ascii="Times New Roman" w:hAnsi="Times New Roman" w:cs="Times New Roman"/>
          <w:sz w:val="20"/>
          <w:szCs w:val="20"/>
          <w:lang w:val="es-ES"/>
        </w:rPr>
      </w:pPr>
      <w:r w:rsidRPr="0030083F">
        <w:rPr>
          <w:rFonts w:ascii="Times New Roman" w:hAnsi="Times New Roman" w:cs="Times New Roman"/>
          <w:sz w:val="20"/>
          <w:szCs w:val="20"/>
          <w:lang w:val="es-ES"/>
        </w:rPr>
        <w:t>(3</w:t>
      </w:r>
      <w:r w:rsidR="007F4655" w:rsidRPr="0030083F">
        <w:rPr>
          <w:rFonts w:ascii="Times New Roman" w:hAnsi="Times New Roman" w:cs="Times New Roman"/>
          <w:sz w:val="20"/>
          <w:szCs w:val="20"/>
          <w:lang w:val="es-ES"/>
        </w:rPr>
        <w:t>)</w:t>
      </w:r>
      <w:r w:rsidRPr="0030083F">
        <w:rPr>
          <w:rFonts w:ascii="Times New Roman" w:hAnsi="Times New Roman" w:cs="Times New Roman"/>
          <w:sz w:val="20"/>
          <w:szCs w:val="20"/>
          <w:lang w:val="es-ES"/>
        </w:rPr>
        <w:t xml:space="preserve"> Universidad laica Eloy Alfaro de Manabí/Universidad estatal del sur de Manabí, Ecuador.</w:t>
      </w:r>
    </w:p>
    <w:p w14:paraId="127D8B50" w14:textId="5B7B4DB2" w:rsidR="00270D33" w:rsidRDefault="00270D33" w:rsidP="0030083F">
      <w:pPr>
        <w:pStyle w:val="Sinespaciado"/>
        <w:rPr>
          <w:rStyle w:val="Hipervnculo"/>
          <w:rFonts w:ascii="Times New Roman" w:hAnsi="Times New Roman" w:cs="Times New Roman"/>
          <w:sz w:val="20"/>
          <w:szCs w:val="20"/>
          <w:lang w:val="es-ES"/>
        </w:rPr>
      </w:pPr>
      <w:r w:rsidRPr="0030083F">
        <w:rPr>
          <w:rFonts w:ascii="Times New Roman" w:hAnsi="Times New Roman" w:cs="Times New Roman"/>
          <w:sz w:val="20"/>
          <w:szCs w:val="20"/>
          <w:lang w:val="es-ES"/>
        </w:rPr>
        <w:t xml:space="preserve">(4) Universidad Estatal del Sur de Manabí, </w:t>
      </w:r>
      <w:r w:rsidR="00BD41BD" w:rsidRPr="0030083F">
        <w:rPr>
          <w:rFonts w:ascii="Times New Roman" w:hAnsi="Times New Roman" w:cs="Times New Roman"/>
          <w:sz w:val="20"/>
          <w:szCs w:val="20"/>
          <w:lang w:val="es-419"/>
        </w:rPr>
        <w:t xml:space="preserve">Jupijapa, </w:t>
      </w:r>
      <w:r w:rsidRPr="0030083F">
        <w:rPr>
          <w:rFonts w:ascii="Times New Roman" w:hAnsi="Times New Roman" w:cs="Times New Roman"/>
          <w:sz w:val="20"/>
          <w:szCs w:val="20"/>
          <w:lang w:val="es-ES"/>
        </w:rPr>
        <w:t xml:space="preserve">Ecuador. </w:t>
      </w:r>
      <w:proofErr w:type="gramStart"/>
      <w:r w:rsidRPr="0030083F">
        <w:rPr>
          <w:rFonts w:ascii="Times New Roman" w:hAnsi="Times New Roman" w:cs="Times New Roman"/>
          <w:sz w:val="20"/>
          <w:szCs w:val="20"/>
          <w:lang w:val="es-ES"/>
        </w:rPr>
        <w:t>email</w:t>
      </w:r>
      <w:proofErr w:type="gramEnd"/>
      <w:r w:rsidRPr="0030083F">
        <w:rPr>
          <w:rFonts w:ascii="Times New Roman" w:hAnsi="Times New Roman" w:cs="Times New Roman"/>
          <w:sz w:val="20"/>
          <w:szCs w:val="20"/>
          <w:lang w:val="es-ES"/>
        </w:rPr>
        <w:t xml:space="preserve">: </w:t>
      </w:r>
      <w:hyperlink r:id="rId10" w:history="1">
        <w:r w:rsidRPr="0030083F">
          <w:rPr>
            <w:rStyle w:val="Hipervnculo"/>
            <w:rFonts w:ascii="Times New Roman" w:hAnsi="Times New Roman" w:cs="Times New Roman"/>
            <w:sz w:val="20"/>
            <w:szCs w:val="20"/>
            <w:lang w:val="es-ES"/>
          </w:rPr>
          <w:t>margoth76@hotmil.com</w:t>
        </w:r>
      </w:hyperlink>
    </w:p>
    <w:p w14:paraId="4A2A1A63" w14:textId="77777777" w:rsidR="0030083F" w:rsidRPr="0030083F" w:rsidRDefault="0030083F" w:rsidP="0030083F">
      <w:pPr>
        <w:pStyle w:val="Sinespaciado"/>
        <w:rPr>
          <w:rFonts w:ascii="Times New Roman" w:hAnsi="Times New Roman" w:cs="Times New Roman"/>
          <w:sz w:val="20"/>
          <w:szCs w:val="20"/>
          <w:lang w:val="es-ES"/>
        </w:rPr>
      </w:pPr>
    </w:p>
    <w:p w14:paraId="75563BE6" w14:textId="77777777" w:rsidR="00075505" w:rsidRPr="0030083F" w:rsidRDefault="00075505" w:rsidP="00270D33">
      <w:pPr>
        <w:spacing w:after="240" w:line="360" w:lineRule="auto"/>
        <w:jc w:val="right"/>
        <w:rPr>
          <w:rFonts w:ascii="Times New Roman" w:hAnsi="Times New Roman" w:cs="Times New Roman"/>
          <w:b/>
          <w:sz w:val="20"/>
          <w:szCs w:val="20"/>
          <w:lang w:val="es-ES"/>
        </w:rPr>
      </w:pPr>
      <w:r w:rsidRPr="0030083F">
        <w:rPr>
          <w:rFonts w:ascii="Times New Roman" w:hAnsi="Times New Roman" w:cs="Times New Roman"/>
          <w:b/>
          <w:sz w:val="20"/>
          <w:szCs w:val="20"/>
          <w:lang w:val="es-ES"/>
        </w:rPr>
        <w:t xml:space="preserve">Contacto </w:t>
      </w:r>
      <w:hyperlink r:id="rId11" w:history="1">
        <w:r w:rsidR="007F4655" w:rsidRPr="0030083F">
          <w:rPr>
            <w:rStyle w:val="Hipervnculo"/>
            <w:rFonts w:ascii="Times New Roman" w:hAnsi="Times New Roman" w:cs="Times New Roman"/>
            <w:b/>
            <w:sz w:val="20"/>
            <w:szCs w:val="20"/>
            <w:lang w:val="es-ES"/>
          </w:rPr>
          <w:t>daniel.vite@hotmail.es</w:t>
        </w:r>
      </w:hyperlink>
    </w:p>
    <w:p w14:paraId="0844DD78" w14:textId="2AE6D6F0" w:rsidR="00BC1BB1" w:rsidRPr="0030083F" w:rsidRDefault="00BC1BB1" w:rsidP="00BC1BB1">
      <w:pPr>
        <w:spacing w:after="240" w:line="360" w:lineRule="auto"/>
        <w:jc w:val="both"/>
        <w:rPr>
          <w:rFonts w:ascii="Times New Roman" w:hAnsi="Times New Roman" w:cs="Times New Roman"/>
          <w:b/>
          <w:sz w:val="20"/>
          <w:szCs w:val="20"/>
          <w:lang w:val="es-US"/>
        </w:rPr>
      </w:pPr>
      <w:r w:rsidRPr="0030083F">
        <w:rPr>
          <w:rFonts w:ascii="Times New Roman" w:hAnsi="Times New Roman" w:cs="Times New Roman"/>
          <w:b/>
          <w:sz w:val="20"/>
          <w:szCs w:val="20"/>
          <w:lang w:val="es-US"/>
        </w:rPr>
        <w:t>Recibido: 18-02-2020</w:t>
      </w:r>
      <w:r w:rsidRPr="0030083F">
        <w:rPr>
          <w:rFonts w:ascii="Times New Roman" w:hAnsi="Times New Roman" w:cs="Times New Roman"/>
          <w:b/>
          <w:sz w:val="20"/>
          <w:szCs w:val="20"/>
          <w:lang w:val="es-US"/>
        </w:rPr>
        <w:tab/>
        <w:t>Aprobado:</w:t>
      </w:r>
      <w:r w:rsidR="0030083F">
        <w:rPr>
          <w:rFonts w:ascii="Times New Roman" w:hAnsi="Times New Roman" w:cs="Times New Roman"/>
          <w:b/>
          <w:sz w:val="20"/>
          <w:szCs w:val="20"/>
          <w:lang w:val="es-US"/>
        </w:rPr>
        <w:t xml:space="preserve"> </w:t>
      </w:r>
      <w:r w:rsidR="007C1DC5" w:rsidRPr="0030083F">
        <w:rPr>
          <w:rFonts w:ascii="Times New Roman" w:hAnsi="Times New Roman" w:cs="Times New Roman"/>
          <w:b/>
          <w:sz w:val="20"/>
          <w:szCs w:val="20"/>
          <w:lang w:val="es-US"/>
        </w:rPr>
        <w:t>11</w:t>
      </w:r>
      <w:r w:rsidRPr="0030083F">
        <w:rPr>
          <w:rFonts w:ascii="Times New Roman" w:hAnsi="Times New Roman" w:cs="Times New Roman"/>
          <w:b/>
          <w:sz w:val="20"/>
          <w:szCs w:val="20"/>
          <w:lang w:val="es-US"/>
        </w:rPr>
        <w:t>-0</w:t>
      </w:r>
      <w:r w:rsidR="007C1DC5" w:rsidRPr="0030083F">
        <w:rPr>
          <w:rFonts w:ascii="Times New Roman" w:hAnsi="Times New Roman" w:cs="Times New Roman"/>
          <w:b/>
          <w:sz w:val="20"/>
          <w:szCs w:val="20"/>
          <w:lang w:val="es-US"/>
        </w:rPr>
        <w:t>3</w:t>
      </w:r>
      <w:r w:rsidRPr="0030083F">
        <w:rPr>
          <w:rFonts w:ascii="Times New Roman" w:hAnsi="Times New Roman" w:cs="Times New Roman"/>
          <w:b/>
          <w:sz w:val="20"/>
          <w:szCs w:val="20"/>
          <w:lang w:val="es-US"/>
        </w:rPr>
        <w:t>-2020</w:t>
      </w:r>
    </w:p>
    <w:p w14:paraId="5B2DCCC1" w14:textId="77777777" w:rsidR="0030083F" w:rsidRDefault="0030083F" w:rsidP="00BC1BB1">
      <w:pPr>
        <w:pStyle w:val="p"/>
        <w:shd w:val="clear" w:color="auto" w:fill="FFFFFF"/>
        <w:spacing w:before="0" w:beforeAutospacing="0" w:after="240" w:afterAutospacing="0" w:line="360" w:lineRule="auto"/>
        <w:jc w:val="both"/>
        <w:rPr>
          <w:b/>
          <w:color w:val="000000"/>
        </w:rPr>
        <w:sectPr w:rsidR="0030083F" w:rsidSect="00857D9E">
          <w:headerReference w:type="default" r:id="rId12"/>
          <w:footerReference w:type="default" r:id="rId13"/>
          <w:pgSz w:w="12240" w:h="15840"/>
          <w:pgMar w:top="1418" w:right="1418" w:bottom="1418" w:left="1701" w:header="720" w:footer="720" w:gutter="0"/>
          <w:cols w:space="720"/>
          <w:docGrid w:linePitch="360"/>
        </w:sectPr>
      </w:pPr>
    </w:p>
    <w:p w14:paraId="54F10242" w14:textId="7BEA00CE" w:rsidR="00D4218F" w:rsidRPr="00D3581F" w:rsidRDefault="00D4218F" w:rsidP="00664C11">
      <w:pPr>
        <w:pStyle w:val="p"/>
        <w:shd w:val="clear" w:color="auto" w:fill="FFFFFF"/>
        <w:spacing w:before="0" w:beforeAutospacing="0" w:after="240" w:afterAutospacing="0"/>
        <w:jc w:val="both"/>
        <w:rPr>
          <w:color w:val="000000"/>
          <w:sz w:val="20"/>
          <w:szCs w:val="20"/>
        </w:rPr>
      </w:pPr>
      <w:r w:rsidRPr="00D3581F">
        <w:rPr>
          <w:b/>
          <w:color w:val="000000"/>
          <w:sz w:val="20"/>
          <w:szCs w:val="20"/>
        </w:rPr>
        <w:t>Resumen</w:t>
      </w:r>
    </w:p>
    <w:p w14:paraId="3CF08AA0" w14:textId="77777777" w:rsidR="00D4218F" w:rsidRPr="00D3581F" w:rsidRDefault="006C0AB6" w:rsidP="00664C11">
      <w:pPr>
        <w:pStyle w:val="p"/>
        <w:shd w:val="clear" w:color="auto" w:fill="FFFFFF"/>
        <w:spacing w:before="0" w:beforeAutospacing="0" w:after="240" w:afterAutospacing="0"/>
        <w:jc w:val="both"/>
        <w:rPr>
          <w:color w:val="000000"/>
          <w:sz w:val="20"/>
          <w:szCs w:val="20"/>
        </w:rPr>
      </w:pPr>
      <w:r w:rsidRPr="00D3581F">
        <w:rPr>
          <w:color w:val="000000"/>
          <w:sz w:val="20"/>
          <w:szCs w:val="20"/>
        </w:rPr>
        <w:t>La cultura alimentaria</w:t>
      </w:r>
      <w:r w:rsidR="00AE5D58" w:rsidRPr="00D3581F">
        <w:rPr>
          <w:color w:val="000000"/>
          <w:sz w:val="20"/>
          <w:szCs w:val="20"/>
        </w:rPr>
        <w:t xml:space="preserve"> </w:t>
      </w:r>
      <w:r w:rsidRPr="00D3581F">
        <w:rPr>
          <w:color w:val="000000"/>
          <w:sz w:val="20"/>
          <w:szCs w:val="20"/>
        </w:rPr>
        <w:t>ejerce</w:t>
      </w:r>
      <w:r w:rsidR="00AE5D58" w:rsidRPr="00D3581F">
        <w:rPr>
          <w:color w:val="000000"/>
          <w:sz w:val="20"/>
          <w:szCs w:val="20"/>
        </w:rPr>
        <w:t xml:space="preserve"> influencia e</w:t>
      </w:r>
      <w:r w:rsidRPr="00D3581F">
        <w:rPr>
          <w:color w:val="000000"/>
          <w:sz w:val="20"/>
          <w:szCs w:val="20"/>
        </w:rPr>
        <w:t>n los estilos de vida saludable</w:t>
      </w:r>
      <w:r w:rsidR="00AE5D58" w:rsidRPr="00D3581F">
        <w:rPr>
          <w:color w:val="000000"/>
          <w:sz w:val="20"/>
          <w:szCs w:val="20"/>
        </w:rPr>
        <w:t xml:space="preserve">, en </w:t>
      </w:r>
      <w:r w:rsidRPr="00D3581F">
        <w:rPr>
          <w:color w:val="000000"/>
          <w:sz w:val="20"/>
          <w:szCs w:val="20"/>
        </w:rPr>
        <w:t>los habitantes de la provincia de Manabí- Ecuador, existen</w:t>
      </w:r>
      <w:r w:rsidR="00AE5D58" w:rsidRPr="00D3581F">
        <w:rPr>
          <w:color w:val="000000"/>
          <w:sz w:val="20"/>
          <w:szCs w:val="20"/>
        </w:rPr>
        <w:t xml:space="preserve"> problemas de orden cultural que tienen afectaciones en la salud de la población, siendo </w:t>
      </w:r>
      <w:r w:rsidR="005833A8" w:rsidRPr="00D3581F">
        <w:rPr>
          <w:color w:val="000000"/>
          <w:sz w:val="20"/>
          <w:szCs w:val="20"/>
        </w:rPr>
        <w:t>uno de</w:t>
      </w:r>
      <w:r w:rsidRPr="00D3581F">
        <w:rPr>
          <w:color w:val="000000"/>
          <w:sz w:val="20"/>
          <w:szCs w:val="20"/>
        </w:rPr>
        <w:t xml:space="preserve"> ellos la inapropiada</w:t>
      </w:r>
      <w:r w:rsidR="00AE5D58" w:rsidRPr="00D3581F">
        <w:rPr>
          <w:color w:val="000000"/>
          <w:sz w:val="20"/>
          <w:szCs w:val="20"/>
        </w:rPr>
        <w:t xml:space="preserve"> cultura alimentaria que pone en riesgo de p</w:t>
      </w:r>
      <w:r w:rsidRPr="00D3581F">
        <w:rPr>
          <w:color w:val="000000"/>
          <w:sz w:val="20"/>
          <w:szCs w:val="20"/>
        </w:rPr>
        <w:t>adecer diabetes a la población</w:t>
      </w:r>
      <w:r w:rsidR="00AE5D58" w:rsidRPr="00D3581F">
        <w:rPr>
          <w:color w:val="000000"/>
          <w:sz w:val="20"/>
          <w:szCs w:val="20"/>
        </w:rPr>
        <w:t xml:space="preserve">. El objetivo de este trabajo es identificar </w:t>
      </w:r>
      <w:r w:rsidRPr="00D3581F">
        <w:rPr>
          <w:color w:val="000000"/>
          <w:sz w:val="20"/>
          <w:szCs w:val="20"/>
        </w:rPr>
        <w:t xml:space="preserve">la cultura alimentaria </w:t>
      </w:r>
      <w:r w:rsidR="00022742" w:rsidRPr="00D3581F">
        <w:rPr>
          <w:color w:val="000000"/>
          <w:sz w:val="20"/>
          <w:szCs w:val="20"/>
        </w:rPr>
        <w:t>de la</w:t>
      </w:r>
      <w:r w:rsidR="00AE5D58" w:rsidRPr="00D3581F">
        <w:rPr>
          <w:color w:val="000000"/>
          <w:sz w:val="20"/>
          <w:szCs w:val="20"/>
        </w:rPr>
        <w:t xml:space="preserve"> población urbana del cantón Jipija</w:t>
      </w:r>
      <w:r w:rsidRPr="00D3581F">
        <w:rPr>
          <w:color w:val="000000"/>
          <w:sz w:val="20"/>
          <w:szCs w:val="20"/>
        </w:rPr>
        <w:t>pa de la provincia de Manabí</w:t>
      </w:r>
      <w:r w:rsidR="005833A8" w:rsidRPr="00D3581F">
        <w:rPr>
          <w:color w:val="000000"/>
          <w:sz w:val="20"/>
          <w:szCs w:val="20"/>
        </w:rPr>
        <w:t xml:space="preserve"> y </w:t>
      </w:r>
      <w:r w:rsidRPr="00D3581F">
        <w:rPr>
          <w:color w:val="000000"/>
          <w:sz w:val="20"/>
          <w:szCs w:val="20"/>
        </w:rPr>
        <w:t>como está repercutiendo en el aumento creciente de la incidencia de casos nuevos</w:t>
      </w:r>
      <w:r w:rsidR="005833A8" w:rsidRPr="00D3581F">
        <w:rPr>
          <w:color w:val="000000"/>
          <w:sz w:val="20"/>
          <w:szCs w:val="20"/>
        </w:rPr>
        <w:t xml:space="preserve"> de diabetes. La investigación es de tipo descriptivo, es un estudio longitudinal. El proyecto es financiado por la Universidad Estatal del Sur de Manabí. Los métodos teóricos que se trabajaron fueron el análisis-síntesis, histórico-lógico e inductivo-deductivo, como métodos empíricos se trab</w:t>
      </w:r>
      <w:r w:rsidRPr="00D3581F">
        <w:rPr>
          <w:color w:val="000000"/>
          <w:sz w:val="20"/>
          <w:szCs w:val="20"/>
        </w:rPr>
        <w:t xml:space="preserve">ajó con las fichas </w:t>
      </w:r>
      <w:r w:rsidR="00022742" w:rsidRPr="00D3581F">
        <w:rPr>
          <w:color w:val="000000"/>
          <w:sz w:val="20"/>
          <w:szCs w:val="20"/>
        </w:rPr>
        <w:t>clínicas,</w:t>
      </w:r>
      <w:r w:rsidR="005833A8" w:rsidRPr="00D3581F">
        <w:rPr>
          <w:color w:val="000000"/>
          <w:sz w:val="20"/>
          <w:szCs w:val="20"/>
        </w:rPr>
        <w:t xml:space="preserve"> control del índice de masa corporal (IMC), y el control de glicemi</w:t>
      </w:r>
      <w:r w:rsidRPr="00D3581F">
        <w:rPr>
          <w:color w:val="000000"/>
          <w:sz w:val="20"/>
          <w:szCs w:val="20"/>
        </w:rPr>
        <w:t xml:space="preserve">a en sangre. La </w:t>
      </w:r>
      <w:r w:rsidR="005833A8" w:rsidRPr="00D3581F">
        <w:rPr>
          <w:color w:val="000000"/>
          <w:sz w:val="20"/>
          <w:szCs w:val="20"/>
        </w:rPr>
        <w:t>muestra</w:t>
      </w:r>
      <w:r w:rsidRPr="00D3581F">
        <w:rPr>
          <w:color w:val="000000"/>
          <w:sz w:val="20"/>
          <w:szCs w:val="20"/>
        </w:rPr>
        <w:t xml:space="preserve"> </w:t>
      </w:r>
      <w:proofErr w:type="spellStart"/>
      <w:r w:rsidRPr="00D3581F">
        <w:rPr>
          <w:color w:val="000000"/>
          <w:sz w:val="20"/>
          <w:szCs w:val="20"/>
        </w:rPr>
        <w:t>fué</w:t>
      </w:r>
      <w:proofErr w:type="spellEnd"/>
      <w:r w:rsidR="005833A8" w:rsidRPr="00D3581F">
        <w:rPr>
          <w:color w:val="000000"/>
          <w:sz w:val="20"/>
          <w:szCs w:val="20"/>
        </w:rPr>
        <w:t xml:space="preserve"> de </w:t>
      </w:r>
      <w:r w:rsidR="00E37639" w:rsidRPr="00D3581F">
        <w:rPr>
          <w:color w:val="000000"/>
          <w:sz w:val="20"/>
          <w:szCs w:val="20"/>
        </w:rPr>
        <w:t>9</w:t>
      </w:r>
      <w:r w:rsidR="005833A8" w:rsidRPr="00D3581F">
        <w:rPr>
          <w:color w:val="000000"/>
          <w:sz w:val="20"/>
          <w:szCs w:val="20"/>
        </w:rPr>
        <w:t xml:space="preserve">1 pacientes identificados como personas en riesgo de padecer diabetes a futuro, en edades de 35 a 60 años. Una de las principales </w:t>
      </w:r>
      <w:r w:rsidR="00022742" w:rsidRPr="00D3581F">
        <w:rPr>
          <w:color w:val="000000"/>
          <w:sz w:val="20"/>
          <w:szCs w:val="20"/>
        </w:rPr>
        <w:t>conclusiones del</w:t>
      </w:r>
      <w:r w:rsidR="005833A8" w:rsidRPr="00D3581F">
        <w:rPr>
          <w:color w:val="000000"/>
          <w:sz w:val="20"/>
          <w:szCs w:val="20"/>
        </w:rPr>
        <w:t xml:space="preserve"> trabajo es que la gastronomía en la zona sur de la provincia de Manabí, a la cual pertenece el cantón Jipijapa, tiene una amplia variedad de opciones, la mayoría gira en torno a al</w:t>
      </w:r>
      <w:r w:rsidRPr="00D3581F">
        <w:rPr>
          <w:color w:val="000000"/>
          <w:sz w:val="20"/>
          <w:szCs w:val="20"/>
        </w:rPr>
        <w:t xml:space="preserve">imentos ricos en </w:t>
      </w:r>
      <w:r w:rsidR="00022742" w:rsidRPr="00D3581F">
        <w:rPr>
          <w:color w:val="000000"/>
          <w:sz w:val="20"/>
          <w:szCs w:val="20"/>
        </w:rPr>
        <w:t>carbohidratos,</w:t>
      </w:r>
      <w:r w:rsidR="005833A8" w:rsidRPr="00D3581F">
        <w:rPr>
          <w:color w:val="000000"/>
          <w:sz w:val="20"/>
          <w:szCs w:val="20"/>
        </w:rPr>
        <w:t xml:space="preserve"> éstos</w:t>
      </w:r>
      <w:r w:rsidRPr="00D3581F">
        <w:rPr>
          <w:color w:val="000000"/>
          <w:sz w:val="20"/>
          <w:szCs w:val="20"/>
        </w:rPr>
        <w:t xml:space="preserve"> sumados a otros aspectos de los estilos de vida saludable</w:t>
      </w:r>
      <w:r w:rsidR="005833A8" w:rsidRPr="00D3581F">
        <w:rPr>
          <w:color w:val="000000"/>
          <w:sz w:val="20"/>
          <w:szCs w:val="20"/>
        </w:rPr>
        <w:t xml:space="preserve"> están ejerciendo influencia en el aumento de factores de riesgo de padecer diabetes.</w:t>
      </w:r>
    </w:p>
    <w:p w14:paraId="7302DE22" w14:textId="77777777" w:rsidR="00D4218F" w:rsidRPr="00D3581F" w:rsidRDefault="00D4218F" w:rsidP="00664C11">
      <w:pPr>
        <w:pStyle w:val="p"/>
        <w:shd w:val="clear" w:color="auto" w:fill="FFFFFF"/>
        <w:spacing w:before="0" w:beforeAutospacing="0" w:after="240" w:afterAutospacing="0"/>
        <w:jc w:val="both"/>
        <w:rPr>
          <w:color w:val="000000"/>
          <w:sz w:val="20"/>
          <w:szCs w:val="20"/>
        </w:rPr>
      </w:pPr>
      <w:r w:rsidRPr="00D3581F">
        <w:rPr>
          <w:b/>
          <w:color w:val="000000"/>
          <w:sz w:val="20"/>
          <w:szCs w:val="20"/>
        </w:rPr>
        <w:t>Palabras clave:</w:t>
      </w:r>
      <w:r w:rsidR="005833A8" w:rsidRPr="00D3581F">
        <w:rPr>
          <w:b/>
          <w:color w:val="000000"/>
          <w:sz w:val="20"/>
          <w:szCs w:val="20"/>
        </w:rPr>
        <w:t xml:space="preserve"> </w:t>
      </w:r>
      <w:r w:rsidR="005833A8" w:rsidRPr="00D3581F">
        <w:rPr>
          <w:color w:val="000000"/>
          <w:sz w:val="20"/>
          <w:szCs w:val="20"/>
        </w:rPr>
        <w:t xml:space="preserve">estilos de vida, </w:t>
      </w:r>
      <w:r w:rsidR="00E37639" w:rsidRPr="00D3581F">
        <w:rPr>
          <w:color w:val="000000"/>
          <w:sz w:val="20"/>
          <w:szCs w:val="20"/>
        </w:rPr>
        <w:t>gastronomía, sedentarismo</w:t>
      </w:r>
    </w:p>
    <w:p w14:paraId="5010BF87" w14:textId="77777777" w:rsidR="00D4218F" w:rsidRPr="00D3581F" w:rsidRDefault="00D4218F" w:rsidP="00664C11">
      <w:pPr>
        <w:pStyle w:val="p"/>
        <w:shd w:val="clear" w:color="auto" w:fill="FFFFFF"/>
        <w:spacing w:before="0" w:beforeAutospacing="0" w:after="240" w:afterAutospacing="0"/>
        <w:jc w:val="both"/>
        <w:rPr>
          <w:b/>
          <w:color w:val="000000"/>
          <w:sz w:val="20"/>
          <w:szCs w:val="20"/>
          <w:lang w:val="en-US"/>
        </w:rPr>
      </w:pPr>
      <w:r w:rsidRPr="00D3581F">
        <w:rPr>
          <w:b/>
          <w:color w:val="000000"/>
          <w:sz w:val="20"/>
          <w:szCs w:val="20"/>
          <w:lang w:val="en-US"/>
        </w:rPr>
        <w:t>Abstract</w:t>
      </w:r>
    </w:p>
    <w:p w14:paraId="15B570F3" w14:textId="77777777" w:rsidR="00BD41BD" w:rsidRPr="00D3581F" w:rsidRDefault="00BD41BD" w:rsidP="00664C11">
      <w:pPr>
        <w:pStyle w:val="p"/>
        <w:shd w:val="clear" w:color="auto" w:fill="FFFFFF"/>
        <w:spacing w:after="240"/>
        <w:jc w:val="both"/>
        <w:rPr>
          <w:color w:val="000000"/>
          <w:sz w:val="20"/>
          <w:szCs w:val="20"/>
          <w:lang w:val="en-US"/>
        </w:rPr>
      </w:pPr>
      <w:r w:rsidRPr="00D3581F">
        <w:rPr>
          <w:color w:val="000000"/>
          <w:sz w:val="20"/>
          <w:szCs w:val="20"/>
          <w:lang w:val="en-US"/>
        </w:rPr>
        <w:t xml:space="preserve">The cultural factor without a doubt that exerts great influence on healthy lifestyles, in the province of Manabí, Ecuador, there are serious cultural problems that have an impact on the health of the population, one of them being the deficient food culture, which puts people at risk of diabetes. The objective of this work is to identify the food culture that the urban population of the </w:t>
      </w:r>
      <w:proofErr w:type="spellStart"/>
      <w:r w:rsidRPr="00D3581F">
        <w:rPr>
          <w:color w:val="000000"/>
          <w:sz w:val="20"/>
          <w:szCs w:val="20"/>
          <w:lang w:val="en-US"/>
        </w:rPr>
        <w:t>Jipijapa</w:t>
      </w:r>
      <w:proofErr w:type="spellEnd"/>
      <w:r w:rsidRPr="00D3581F">
        <w:rPr>
          <w:color w:val="000000"/>
          <w:sz w:val="20"/>
          <w:szCs w:val="20"/>
          <w:lang w:val="en-US"/>
        </w:rPr>
        <w:t xml:space="preserve"> canton of the province of Manabí has in Ecuador and how it is having an impact on the rates of diabetes. The research is descriptive, it is a longitudinal study. The project is funded by the State University of Southern Manabí. The theoretical methods that were worked were the analysis-synthesis, historical-logical and inductive-deductive, as empirical methods were worked with the nursing records, body mass index control (BMI), and blood glucose control. We worked with a sample </w:t>
      </w:r>
      <w:proofErr w:type="gramStart"/>
      <w:r w:rsidRPr="00D3581F">
        <w:rPr>
          <w:color w:val="000000"/>
          <w:sz w:val="20"/>
          <w:szCs w:val="20"/>
          <w:lang w:val="en-US"/>
        </w:rPr>
        <w:t>of  91</w:t>
      </w:r>
      <w:proofErr w:type="gramEnd"/>
      <w:r w:rsidRPr="00D3581F">
        <w:rPr>
          <w:color w:val="000000"/>
          <w:sz w:val="20"/>
          <w:szCs w:val="20"/>
          <w:lang w:val="en-US"/>
        </w:rPr>
        <w:t xml:space="preserve"> patients identified as people at risk of having diabetes in the future, at ages 35 to 60 years. One of the main conclusions reached at work is that gastronomy in the southern area of the province of Manabí, to which the </w:t>
      </w:r>
      <w:proofErr w:type="spellStart"/>
      <w:r w:rsidRPr="00D3581F">
        <w:rPr>
          <w:color w:val="000000"/>
          <w:sz w:val="20"/>
          <w:szCs w:val="20"/>
          <w:lang w:val="en-US"/>
        </w:rPr>
        <w:t>Jipijapa</w:t>
      </w:r>
      <w:proofErr w:type="spellEnd"/>
      <w:r w:rsidRPr="00D3581F">
        <w:rPr>
          <w:color w:val="000000"/>
          <w:sz w:val="20"/>
          <w:szCs w:val="20"/>
          <w:lang w:val="en-US"/>
        </w:rPr>
        <w:t xml:space="preserve"> canton belongs, has a wide variety of options, the majority revolves around rich foods in carbohydrates and these are influencing the increase in risk factors for diabetes.</w:t>
      </w:r>
    </w:p>
    <w:p w14:paraId="0C7E4649" w14:textId="6CBAC55C" w:rsidR="00BD41BD" w:rsidRPr="00D3581F" w:rsidRDefault="00BD41BD" w:rsidP="00664C11">
      <w:pPr>
        <w:pStyle w:val="p"/>
        <w:shd w:val="clear" w:color="auto" w:fill="FFFFFF"/>
        <w:spacing w:before="0" w:beforeAutospacing="0" w:after="240" w:afterAutospacing="0"/>
        <w:jc w:val="both"/>
        <w:rPr>
          <w:color w:val="000000"/>
          <w:sz w:val="20"/>
          <w:szCs w:val="20"/>
          <w:lang w:val="es-ES"/>
        </w:rPr>
      </w:pPr>
      <w:proofErr w:type="spellStart"/>
      <w:r w:rsidRPr="00D3581F">
        <w:rPr>
          <w:color w:val="000000"/>
          <w:sz w:val="20"/>
          <w:szCs w:val="20"/>
          <w:lang w:val="es-ES"/>
        </w:rPr>
        <w:t>Keywords</w:t>
      </w:r>
      <w:proofErr w:type="spellEnd"/>
      <w:r w:rsidRPr="00D3581F">
        <w:rPr>
          <w:color w:val="000000"/>
          <w:sz w:val="20"/>
          <w:szCs w:val="20"/>
          <w:lang w:val="es-ES"/>
        </w:rPr>
        <w:t xml:space="preserve">: </w:t>
      </w:r>
      <w:proofErr w:type="spellStart"/>
      <w:r w:rsidRPr="00D3581F">
        <w:rPr>
          <w:color w:val="000000"/>
          <w:sz w:val="20"/>
          <w:szCs w:val="20"/>
          <w:lang w:val="es-ES"/>
        </w:rPr>
        <w:t>lifestyles</w:t>
      </w:r>
      <w:proofErr w:type="spellEnd"/>
      <w:r w:rsidRPr="00D3581F">
        <w:rPr>
          <w:color w:val="000000"/>
          <w:sz w:val="20"/>
          <w:szCs w:val="20"/>
          <w:lang w:val="es-ES"/>
        </w:rPr>
        <w:t xml:space="preserve">, </w:t>
      </w:r>
      <w:proofErr w:type="spellStart"/>
      <w:r w:rsidRPr="00D3581F">
        <w:rPr>
          <w:color w:val="000000"/>
          <w:sz w:val="20"/>
          <w:szCs w:val="20"/>
          <w:lang w:val="es-ES"/>
        </w:rPr>
        <w:t>gastronomy</w:t>
      </w:r>
      <w:proofErr w:type="spellEnd"/>
      <w:r w:rsidRPr="00D3581F">
        <w:rPr>
          <w:color w:val="000000"/>
          <w:sz w:val="20"/>
          <w:szCs w:val="20"/>
          <w:lang w:val="es-ES"/>
        </w:rPr>
        <w:t xml:space="preserve">, </w:t>
      </w:r>
      <w:proofErr w:type="spellStart"/>
      <w:r w:rsidRPr="00D3581F">
        <w:rPr>
          <w:color w:val="000000"/>
          <w:sz w:val="20"/>
          <w:szCs w:val="20"/>
          <w:lang w:val="es-ES"/>
        </w:rPr>
        <w:t>sedentary</w:t>
      </w:r>
      <w:proofErr w:type="spellEnd"/>
      <w:r w:rsidRPr="00D3581F">
        <w:rPr>
          <w:color w:val="000000"/>
          <w:sz w:val="20"/>
          <w:szCs w:val="20"/>
          <w:lang w:val="es-ES"/>
        </w:rPr>
        <w:t xml:space="preserve"> </w:t>
      </w:r>
      <w:proofErr w:type="spellStart"/>
      <w:r w:rsidRPr="00D3581F">
        <w:rPr>
          <w:color w:val="000000"/>
          <w:sz w:val="20"/>
          <w:szCs w:val="20"/>
          <w:lang w:val="es-ES"/>
        </w:rPr>
        <w:t>lifestyle</w:t>
      </w:r>
      <w:proofErr w:type="spellEnd"/>
    </w:p>
    <w:p w14:paraId="5D49F702" w14:textId="77777777" w:rsidR="00237016" w:rsidRPr="00D3581F" w:rsidRDefault="00237016" w:rsidP="00664C11">
      <w:pPr>
        <w:pStyle w:val="p"/>
        <w:shd w:val="clear" w:color="auto" w:fill="FFFFFF"/>
        <w:spacing w:before="0" w:beforeAutospacing="0" w:after="240" w:afterAutospacing="0"/>
        <w:jc w:val="both"/>
        <w:rPr>
          <w:b/>
          <w:color w:val="000000"/>
          <w:sz w:val="20"/>
          <w:szCs w:val="20"/>
        </w:rPr>
      </w:pPr>
      <w:r w:rsidRPr="00D3581F">
        <w:rPr>
          <w:b/>
          <w:color w:val="000000"/>
          <w:sz w:val="20"/>
          <w:szCs w:val="20"/>
        </w:rPr>
        <w:lastRenderedPageBreak/>
        <w:t>Introducción</w:t>
      </w:r>
    </w:p>
    <w:p w14:paraId="7995F26C" w14:textId="77777777" w:rsidR="00237016" w:rsidRPr="00D3581F" w:rsidRDefault="00237016" w:rsidP="00664C11">
      <w:pPr>
        <w:pStyle w:val="NormalWeb"/>
        <w:shd w:val="clear" w:color="auto" w:fill="FFFFFF"/>
        <w:spacing w:before="0" w:beforeAutospacing="0" w:after="240" w:afterAutospacing="0"/>
        <w:jc w:val="both"/>
        <w:rPr>
          <w:color w:val="000000"/>
          <w:sz w:val="20"/>
          <w:szCs w:val="20"/>
        </w:rPr>
      </w:pPr>
      <w:r w:rsidRPr="00D3581F">
        <w:rPr>
          <w:color w:val="000000"/>
          <w:sz w:val="20"/>
          <w:szCs w:val="20"/>
        </w:rPr>
        <w:t xml:space="preserve">La prevalencia </w:t>
      </w:r>
      <w:r w:rsidR="00022742" w:rsidRPr="00D3581F">
        <w:rPr>
          <w:color w:val="000000"/>
          <w:sz w:val="20"/>
          <w:szCs w:val="20"/>
        </w:rPr>
        <w:t>global de la diabetes tipo 2 (DM</w:t>
      </w:r>
      <w:r w:rsidRPr="00D3581F">
        <w:rPr>
          <w:color w:val="000000"/>
          <w:sz w:val="20"/>
          <w:szCs w:val="20"/>
        </w:rPr>
        <w:t>2) está aumentando rápida</w:t>
      </w:r>
      <w:r w:rsidR="006C0AB6" w:rsidRPr="00D3581F">
        <w:rPr>
          <w:color w:val="000000"/>
          <w:sz w:val="20"/>
          <w:szCs w:val="20"/>
        </w:rPr>
        <w:t xml:space="preserve">mente, paralela al aumento de </w:t>
      </w:r>
      <w:r w:rsidRPr="00D3581F">
        <w:rPr>
          <w:color w:val="000000"/>
          <w:sz w:val="20"/>
          <w:szCs w:val="20"/>
        </w:rPr>
        <w:t>obesidad, la re</w:t>
      </w:r>
      <w:r w:rsidR="006C0AB6" w:rsidRPr="00D3581F">
        <w:rPr>
          <w:color w:val="000000"/>
          <w:sz w:val="20"/>
          <w:szCs w:val="20"/>
        </w:rPr>
        <w:t>ducción de la actividad física ,</w:t>
      </w:r>
      <w:r w:rsidRPr="00D3581F">
        <w:rPr>
          <w:color w:val="000000"/>
          <w:sz w:val="20"/>
          <w:szCs w:val="20"/>
        </w:rPr>
        <w:t xml:space="preserve"> la adopción de un estilo de vida sedentario y los cambios en la dieta hacia conductas alimentarias poco saludables </w:t>
      </w:r>
      <w:r w:rsidRPr="00D3581F">
        <w:rPr>
          <w:color w:val="000000"/>
          <w:sz w:val="20"/>
          <w:szCs w:val="20"/>
        </w:rPr>
        <w:fldChar w:fldCharType="begin"/>
      </w:r>
      <w:r w:rsidR="00302A47" w:rsidRPr="00D3581F">
        <w:rPr>
          <w:color w:val="000000"/>
          <w:sz w:val="20"/>
          <w:szCs w:val="20"/>
        </w:rPr>
        <w:instrText xml:space="preserve"> ADDIN ZOTERO_ITEM CSL_CITATION {"citationID":"7TrVnYJa","properties":{"formattedCitation":"(Schwingshackl et\\uc0\\u160{}al., 2017)","plainCitation":"(Schwingshackl et al., 2017)","noteIndex":0},"citationItems":[{"id":2831,"uris":["http://zotero.org/users/5489988/items/65I5UJVA"],"uri":["http://zotero.org/users/5489988/items/65I5UJVA"],"itemData":{"id":2831,"type":"article-journal","title":"Food groups and risk of type 2 diabetes mellitus: a systematic review and meta-analysis of prospective studies","container-title":"European Journal of Epidemiology","page":"363-375","volume":"32","issue":"5","source":"PubMed Central","abstract":"The aim of this systematic review and meta-analysis was to synthesize the knowledge about the relation between intake of 12 major food groups and risk of type 2 diabetes (T2D). We conducted a systematic search in PubMed, Embase, Medline (Ovid), Cochrane Central, and Google Scholar for prospective studies investigating the association between whole grains, refined grains, vegetables, fruits, nuts, legumes, eggs, dairy, fish, red meat, processed meat, and sugar-sweetened beverages (SSB) on risk of T2D. Summary relative risks were estimated using a random effects model by contrasting categories, and for linear and non-linear dose–response relationships. Six out of the 12 food-groups showed a significant relation with risk of T2D, three of them a decrease of risk with increasing consumption (whole grains, fruits, and dairy), and three an increase of risk with increasing consumption (red meat, processed meat, and SSB) in the linear dose–response meta-analysis. There was evidence of a non-linear relationship between fruits, vegetables, processed meat, whole grains, and SSB and T2D risk. Optimal consumption of risk-decreasing foods resulted in a 42% reduction, and consumption of risk-increasing foods was associated with a threefold T2D risk, compared to non-consumption. The meta-evidence was graded “low” for legumes and nuts; “moderate” for refined grains, vegetables, fruit, eggs, dairy, and fish; and “high” for processed meat, red meat, whole grains, and SSB. Among the investigated food groups, selecting specific optimal intakes can lead to a considerable change in risk of T2D.","DOI":"10.1007/s10654-017-0246-y","ISSN":"0393-2990","note":"PMID: 28397016\nPMCID: PMC5506108","title-short":"Food groups and risk of type 2 diabetes mellitus","journalAbbreviation":"Eur J Epidemiol","author":[{"family":"Schwingshackl","given":"Lukas"},{"family":"Hoffmann","given":"Georg"},{"family":"Lampousi","given":"Anna-Maria"},{"family":"Knüppel","given":"Sven"},{"family":"Iqbal","given":"Khalid"},{"family":"Schwedhelm","given":"Carolina"},{"family":"Bechthold","given":"Angela"},{"family":"Schlesinger","given":"Sabrina"},{"family":"Boeing","given":"Heiner"}],"issued":{"date-parts":[["2017"]]}}}],"schema":"https://github.com/citation-style-language/schema/raw/master/csl-citation.json"} </w:instrText>
      </w:r>
      <w:r w:rsidRPr="00D3581F">
        <w:rPr>
          <w:color w:val="000000"/>
          <w:sz w:val="20"/>
          <w:szCs w:val="20"/>
        </w:rPr>
        <w:fldChar w:fldCharType="separate"/>
      </w:r>
      <w:r w:rsidR="00302A47" w:rsidRPr="00D3581F">
        <w:rPr>
          <w:sz w:val="20"/>
          <w:szCs w:val="20"/>
        </w:rPr>
        <w:t>(Schwingshackl et al., 2017)</w:t>
      </w:r>
      <w:r w:rsidRPr="00D3581F">
        <w:rPr>
          <w:color w:val="000000"/>
          <w:sz w:val="20"/>
          <w:szCs w:val="20"/>
        </w:rPr>
        <w:fldChar w:fldCharType="end"/>
      </w:r>
      <w:r w:rsidRPr="00D3581F">
        <w:rPr>
          <w:color w:val="000000"/>
          <w:sz w:val="20"/>
          <w:szCs w:val="20"/>
        </w:rPr>
        <w:t>. Se ha estimado que 41</w:t>
      </w:r>
      <w:r w:rsidR="00022742" w:rsidRPr="00D3581F">
        <w:rPr>
          <w:color w:val="000000"/>
          <w:sz w:val="20"/>
          <w:szCs w:val="20"/>
        </w:rPr>
        <w:t>5 millones de personas tenían DM</w:t>
      </w:r>
      <w:r w:rsidRPr="00D3581F">
        <w:rPr>
          <w:color w:val="000000"/>
          <w:sz w:val="20"/>
          <w:szCs w:val="20"/>
        </w:rPr>
        <w:t xml:space="preserve">2 en 2015, y se proyecta que el número aumentará a 642 millones para 2040 </w:t>
      </w:r>
      <w:r w:rsidRPr="00D3581F">
        <w:rPr>
          <w:color w:val="000000"/>
          <w:sz w:val="20"/>
          <w:szCs w:val="20"/>
        </w:rPr>
        <w:fldChar w:fldCharType="begin"/>
      </w:r>
      <w:r w:rsidR="00302A47" w:rsidRPr="00D3581F">
        <w:rPr>
          <w:color w:val="000000"/>
          <w:sz w:val="20"/>
          <w:szCs w:val="20"/>
        </w:rPr>
        <w:instrText xml:space="preserve"> ADDIN ZOTERO_ITEM CSL_CITATION {"citationID":"JKRt3wXS","properties":{"formattedCitation":"(Sami et\\uc0\\u160{}al., 2017)","plainCitation":"(Sami et al., 2017)","noteIndex":0},"citationItems":[{"id":2836,"uris":["http://zotero.org/users/5489988/items/ANKX8TTS"],"uri":["http://zotero.org/users/5489988/items/ANKX8TTS"],"itemData":{"id":2836,"type":"article-journal","title":"Effect of diet on type 2 diabetes mellitus: A review","container-title":"International Journal of Health Sciences","page":"65-71","volume":"11","issue":"2","source":"PubMed Central","abstract":"Globally, type 2 diabetes mellitus (T2DM) is considered as one of the most common diseases. The etiology of T2DM is complex and is associated with irreversible risk factors such as age, genetic, race, and ethnicity and reversible factors such as diet, physical activity and smoking. The objectives of this review are to examine various studies to explore relationship of T2DM with different dietary habits/patterns and practices and its complications. Dietary habits and sedentary lifestyle are the major factors for rapidly rising incidence of DM among developing countries. In type 2 diabetics, recently, elevated HbA1c level has also been considered as one of the leading risk factors for developing microvascular and macrovascular complications. Improvement in the elevated HbA1c level can be achieved through diet management; thus, the patients could be prevented from developing the diabetes complications. Awareness about diabetes complications and consequent improvement in dietary knowledge, attitude, and practices lead to better control of the disease. The stakeholders (health-care providers, health facilities, agencies involved in diabetes care, etc.) should encourage patients to understand the importance of diet which may help in disease management, appropriate self-care and better quality of life.","ISSN":"1658-3639","note":"PMID: 28539866\nPMCID: PMC5426415","title-short":"Effect of diet on type 2 diabetes mellitus","journalAbbreviation":"Int J Health Sci (Qassim)","author":[{"family":"Sami","given":"Waqas"},{"family":"Ansari","given":"Tahir"},{"family":"Butt","given":"Nadeem Shafique"},{"family":"Hamid","given":"Mohd Rashid Ab"}],"issued":{"date-parts":[["2017"]]}}}],"schema":"https://github.com/citation-style-language/schema/raw/master/csl-citation.json"} </w:instrText>
      </w:r>
      <w:r w:rsidRPr="00D3581F">
        <w:rPr>
          <w:color w:val="000000"/>
          <w:sz w:val="20"/>
          <w:szCs w:val="20"/>
        </w:rPr>
        <w:fldChar w:fldCharType="separate"/>
      </w:r>
      <w:r w:rsidR="00302A47" w:rsidRPr="00D3581F">
        <w:rPr>
          <w:sz w:val="20"/>
          <w:szCs w:val="20"/>
        </w:rPr>
        <w:t>(Sami et al., 2017)</w:t>
      </w:r>
      <w:r w:rsidRPr="00D3581F">
        <w:rPr>
          <w:color w:val="000000"/>
          <w:sz w:val="20"/>
          <w:szCs w:val="20"/>
        </w:rPr>
        <w:fldChar w:fldCharType="end"/>
      </w:r>
      <w:r w:rsidRPr="00D3581F">
        <w:rPr>
          <w:color w:val="000000"/>
          <w:sz w:val="20"/>
          <w:szCs w:val="20"/>
        </w:rPr>
        <w:t>. Por lo tanto, la implementación de estrategi</w:t>
      </w:r>
      <w:r w:rsidR="00022742" w:rsidRPr="00D3581F">
        <w:rPr>
          <w:color w:val="000000"/>
          <w:sz w:val="20"/>
          <w:szCs w:val="20"/>
        </w:rPr>
        <w:t>as efectivas de prevención de DM</w:t>
      </w:r>
      <w:r w:rsidRPr="00D3581F">
        <w:rPr>
          <w:color w:val="000000"/>
          <w:sz w:val="20"/>
          <w:szCs w:val="20"/>
        </w:rPr>
        <w:t>2, así como los programas de detección temprana es de gran importancia para reducir la carga de salud de la enfermedad. </w:t>
      </w:r>
      <w:r w:rsidR="00022742" w:rsidRPr="00D3581F">
        <w:rPr>
          <w:color w:val="000000"/>
          <w:sz w:val="20"/>
          <w:szCs w:val="20"/>
        </w:rPr>
        <w:t>Para prevenir la aparición de DM</w:t>
      </w:r>
      <w:r w:rsidRPr="00D3581F">
        <w:rPr>
          <w:color w:val="000000"/>
          <w:sz w:val="20"/>
          <w:szCs w:val="20"/>
        </w:rPr>
        <w:t xml:space="preserve">2 a una edad temprana y </w:t>
      </w:r>
      <w:r w:rsidR="00022742" w:rsidRPr="00D3581F">
        <w:rPr>
          <w:color w:val="000000"/>
          <w:sz w:val="20"/>
          <w:szCs w:val="20"/>
        </w:rPr>
        <w:t>reducir el riesgo de contraer DM</w:t>
      </w:r>
      <w:r w:rsidRPr="00D3581F">
        <w:rPr>
          <w:color w:val="000000"/>
          <w:sz w:val="20"/>
          <w:szCs w:val="20"/>
        </w:rPr>
        <w:t xml:space="preserve">2 durante toda la vida, se ha reconocido que la selección óptima de alimentos y factores dietéticos juegan un papel fundamental. Existen </w:t>
      </w:r>
      <w:proofErr w:type="spellStart"/>
      <w:r w:rsidRPr="00D3581F">
        <w:rPr>
          <w:color w:val="000000"/>
          <w:sz w:val="20"/>
          <w:szCs w:val="20"/>
        </w:rPr>
        <w:t>metanálisis</w:t>
      </w:r>
      <w:proofErr w:type="spellEnd"/>
      <w:r w:rsidRPr="00D3581F">
        <w:rPr>
          <w:color w:val="000000"/>
          <w:sz w:val="20"/>
          <w:szCs w:val="20"/>
        </w:rPr>
        <w:t xml:space="preserve"> de estudios prospectivos que mostraron que los granos integrales se asociaron con un menor riesgo de diabetes tipo 2, mientras que la carne roja, la carne proc</w:t>
      </w:r>
      <w:r w:rsidR="00302A47" w:rsidRPr="00D3581F">
        <w:rPr>
          <w:color w:val="000000"/>
          <w:sz w:val="20"/>
          <w:szCs w:val="20"/>
        </w:rPr>
        <w:t xml:space="preserve">esada y las bebidas azucaradas </w:t>
      </w:r>
      <w:r w:rsidRPr="00D3581F">
        <w:rPr>
          <w:color w:val="000000"/>
          <w:sz w:val="20"/>
          <w:szCs w:val="20"/>
        </w:rPr>
        <w:t xml:space="preserve">se asociaron con un mayor riesgo </w:t>
      </w:r>
      <w:r w:rsidRPr="00D3581F">
        <w:rPr>
          <w:color w:val="000000"/>
          <w:sz w:val="20"/>
          <w:szCs w:val="20"/>
        </w:rPr>
        <w:fldChar w:fldCharType="begin"/>
      </w:r>
      <w:r w:rsidR="00302A47" w:rsidRPr="00D3581F">
        <w:rPr>
          <w:color w:val="000000"/>
          <w:sz w:val="20"/>
          <w:szCs w:val="20"/>
        </w:rPr>
        <w:instrText xml:space="preserve"> ADDIN ZOTERO_ITEM CSL_CITATION {"citationID":"W4qCno47","properties":{"formattedCitation":"(Zong et\\uc0\\u160{}al., 2016)","plainCitation":"(Zong et al., 2016)","noteIndex":0},"citationItems":[{"id":2839,"uris":["http://zotero.org/users/5489988/items/H2KPBMZK"],"uri":["http://zotero.org/users/5489988/items/H2KPBMZK"],"itemData":{"id":2839,"type":"article-journal","title":"Consumption of Meals Prepared at Home and Risk of Type 2 Diabetes: An Analysis of Two Prospective Cohort Studies","container-title":"PLoS Medicine","volume":"13","issue":"7","source":"PubMed Central","abstract":"With the aim of informing healthy eating behaviors, Qi Sun and colleagues investigate associations between the proportion of meals consumed by US health professionals that were prepared at home and incidence of type 2 diabetes.","URL":"https://www.ncbi.nlm.nih.gov/pmc/articles/PMC4933392/","DOI":"10.1371/journal.pmed.1002052","ISSN":"1549-1277","note":"PMID: 27379673\nPMCID: PMC4933392","title-short":"Consumption of Meals Prepared at Home and Risk of Type 2 Diabetes","journalAbbreviation":"PLoS Med","author":[{"family":"Zong","given":"Geng"},{"family":"Eisenberg","given":"David M."},{"family":"Hu","given":"Frank B."},{"family":"Sun","given":"Qi"}],"issued":{"date-parts":[["2016",7,5]]},"accessed":{"date-parts":[["2020",2,8]]}}}],"schema":"https://github.com/citation-style-language/schema/raw/master/csl-citation.json"} </w:instrText>
      </w:r>
      <w:r w:rsidRPr="00D3581F">
        <w:rPr>
          <w:color w:val="000000"/>
          <w:sz w:val="20"/>
          <w:szCs w:val="20"/>
        </w:rPr>
        <w:fldChar w:fldCharType="separate"/>
      </w:r>
      <w:r w:rsidR="00302A47" w:rsidRPr="00D3581F">
        <w:rPr>
          <w:sz w:val="20"/>
          <w:szCs w:val="20"/>
        </w:rPr>
        <w:t>(Zong et al., 2016)</w:t>
      </w:r>
      <w:r w:rsidRPr="00D3581F">
        <w:rPr>
          <w:color w:val="000000"/>
          <w:sz w:val="20"/>
          <w:szCs w:val="20"/>
        </w:rPr>
        <w:fldChar w:fldCharType="end"/>
      </w:r>
      <w:r w:rsidRPr="00D3581F">
        <w:rPr>
          <w:color w:val="000000"/>
          <w:sz w:val="20"/>
          <w:szCs w:val="20"/>
        </w:rPr>
        <w:t>.</w:t>
      </w:r>
    </w:p>
    <w:p w14:paraId="08820C41" w14:textId="77777777" w:rsidR="00237016" w:rsidRPr="00D3581F" w:rsidRDefault="00237016" w:rsidP="00664C11">
      <w:pPr>
        <w:pStyle w:val="NormalWeb"/>
        <w:shd w:val="clear" w:color="auto" w:fill="FFFFFF"/>
        <w:spacing w:before="0" w:beforeAutospacing="0" w:after="240" w:afterAutospacing="0"/>
        <w:jc w:val="both"/>
        <w:rPr>
          <w:color w:val="000000"/>
          <w:sz w:val="20"/>
          <w:szCs w:val="20"/>
        </w:rPr>
      </w:pPr>
      <w:r w:rsidRPr="00D3581F">
        <w:rPr>
          <w:color w:val="000000"/>
          <w:sz w:val="20"/>
          <w:szCs w:val="20"/>
        </w:rPr>
        <w:t>Además, los patrones de alimentación saludable evaluados por enfoques basados ​​en hipótesis, como el puntaje de la dieta mediterránea, el Índice de alimentación saludable, el Índice de alimentación saludable alternativa y el puntaje dietético DASH se han as</w:t>
      </w:r>
      <w:r w:rsidR="00022742" w:rsidRPr="00D3581F">
        <w:rPr>
          <w:color w:val="000000"/>
          <w:sz w:val="20"/>
          <w:szCs w:val="20"/>
        </w:rPr>
        <w:t>ociado con un menor riesgo de DM</w:t>
      </w:r>
      <w:r w:rsidRPr="00D3581F">
        <w:rPr>
          <w:color w:val="000000"/>
          <w:sz w:val="20"/>
          <w:szCs w:val="20"/>
        </w:rPr>
        <w:t xml:space="preserve">2 </w:t>
      </w:r>
      <w:r w:rsidRPr="00D3581F">
        <w:rPr>
          <w:color w:val="000000"/>
          <w:sz w:val="20"/>
          <w:szCs w:val="20"/>
        </w:rPr>
        <w:fldChar w:fldCharType="begin"/>
      </w:r>
      <w:r w:rsidR="00302A47" w:rsidRPr="00D3581F">
        <w:rPr>
          <w:color w:val="000000"/>
          <w:sz w:val="20"/>
          <w:szCs w:val="20"/>
        </w:rPr>
        <w:instrText xml:space="preserve"> ADDIN ZOTERO_ITEM CSL_CITATION {"citationID":"iO7HnQsl","properties":{"formattedCitation":"(Rahati et\\uc0\\u160{}al., 2014)","plainCitation":"(Rahati et al., 2014)","noteIndex":0},"citationItems":[{"id":2842,"uris":["http://zotero.org/users/5489988/items/2NWCH6X7"],"uri":["http://zotero.org/users/5489988/items/2NWCH6X7"],"itemData":{"id":2842,"type":"article-journal","title":"Food Pattern, Lifestyle and Diabetes Mellitus","container-title":"International Journal of High Risk Behaviors &amp; Addiction","volume":"3","issue":"1","source":"PubMed Central","abstract":"Background:\nPrevalence of Type 2 diabetes is increasing rapidly worldwide. Recent data is reprehensive of increasing diabetes prevalence from 285 millions in 2010 (6.4%) to 439 millions in 2030 in adults aged 20 to 79 in different countries. Lifestyle and particularly dietary habits play an important role in the development of diabetes. Additionally, specific individual food groups and diet components such as monounsaturated fatty acids, fruits, vegetables, whole grain cereals, dietary fiber, fish, magnesium and nuts may protect against the development of diabetes, possibly through the amelioration of insulin sensitivity and its anti-inflammatory actions, while consumption of red and processed meats and saturated fat may increase the risk of type 2 diabetes.\n\nObjectives:\nIn this section, we studied dietary and other factors related to the effect of lifestyle in type 2 diabetes. These factors may affect the incidence of type 2 diabetes which could be corrected by lifestyle modifications.\n\nResults:\nUnfortunately, dietary habits in the developed and developing countries are changing towards an unhealthier direction. Consequently, emphasis should be given on encouraging at population and individual levels for adopting a healthier lifestyle, including dietary habits, to prevent the development of type 2 diabetes. Here we reviewed epidemiologic and clinical trial evidence regarding nutrients, foods and dietary patterns to diabetes risk and involved possible mechanisms.\n\nConclusions:\nType 2 diabetes is increasingly growing in young population of developing countries, which causes a large burden on individuals and the society.","URL":"https://www.ncbi.nlm.nih.gov/pmc/articles/PMC4070192/","DOI":"10.5812/ijhrba.8725","ISSN":"2251-8711","note":"PMID: 24971303\nPMCID: PMC4070192","journalAbbreviation":"Int J High Risk Behav Addict","author":[{"family":"Rahati","given":"Sara"},{"family":"Shahraki","given":"Mansour"},{"family":"Arjomand","given":"Golnaz"},{"family":"Shahraki","given":"Touran"}],"issued":{"date-parts":[["2014",3,10]]},"accessed":{"date-parts":[["2020",2,8]]}}}],"schema":"https://github.com/citation-style-language/schema/raw/master/csl-citation.json"} </w:instrText>
      </w:r>
      <w:r w:rsidRPr="00D3581F">
        <w:rPr>
          <w:color w:val="000000"/>
          <w:sz w:val="20"/>
          <w:szCs w:val="20"/>
        </w:rPr>
        <w:fldChar w:fldCharType="separate"/>
      </w:r>
      <w:r w:rsidR="00302A47" w:rsidRPr="00D3581F">
        <w:rPr>
          <w:sz w:val="20"/>
          <w:szCs w:val="20"/>
        </w:rPr>
        <w:t>(Rahati et al., 2014)</w:t>
      </w:r>
      <w:r w:rsidRPr="00D3581F">
        <w:rPr>
          <w:color w:val="000000"/>
          <w:sz w:val="20"/>
          <w:szCs w:val="20"/>
        </w:rPr>
        <w:fldChar w:fldCharType="end"/>
      </w:r>
      <w:r w:rsidRPr="00D3581F">
        <w:rPr>
          <w:color w:val="000000"/>
          <w:sz w:val="20"/>
          <w:szCs w:val="20"/>
        </w:rPr>
        <w:t>. </w:t>
      </w:r>
    </w:p>
    <w:p w14:paraId="001CC633" w14:textId="77777777" w:rsidR="00237016" w:rsidRPr="00D3581F" w:rsidRDefault="00237016" w:rsidP="00664C11">
      <w:pPr>
        <w:pStyle w:val="NormalWeb"/>
        <w:shd w:val="clear" w:color="auto" w:fill="FFFFFF"/>
        <w:spacing w:before="0" w:beforeAutospacing="0" w:after="240" w:afterAutospacing="0"/>
        <w:jc w:val="both"/>
        <w:rPr>
          <w:color w:val="000000"/>
          <w:sz w:val="20"/>
          <w:szCs w:val="20"/>
        </w:rPr>
      </w:pPr>
      <w:r w:rsidRPr="00D3581F">
        <w:rPr>
          <w:color w:val="000000"/>
          <w:sz w:val="20"/>
          <w:szCs w:val="20"/>
        </w:rPr>
        <w:t xml:space="preserve">La compleja relación entre dieta y salud, abordada a través de estos patrones dietéticos, es un recordatorio del hecho de que los humanos no consumen nutrientes, sino más bien una mezcla de alimentos individuales </w:t>
      </w:r>
      <w:r w:rsidRPr="00D3581F">
        <w:rPr>
          <w:color w:val="000000"/>
          <w:sz w:val="20"/>
          <w:szCs w:val="20"/>
        </w:rPr>
        <w:fldChar w:fldCharType="begin"/>
      </w:r>
      <w:r w:rsidR="00302A47" w:rsidRPr="00D3581F">
        <w:rPr>
          <w:color w:val="000000"/>
          <w:sz w:val="20"/>
          <w:szCs w:val="20"/>
        </w:rPr>
        <w:instrText xml:space="preserve"> ADDIN ZOTERO_ITEM CSL_CITATION {"citationID":"DT4fna3q","properties":{"formattedCitation":"(Della Pepa et\\uc0\\u160{}al., 2018)","plainCitation":"(Della Pepa et al., 2018)","noteIndex":0},"citationItems":[{"id":2845,"uris":["http://zotero.org/users/5489988/items/AB77IS2L"],"uri":["http://zotero.org/users/5489988/items/AB77IS2L"],"itemData":{"id":2845,"type":"article-journal","title":"Wholegrain Intake and Risk of Type 2 Diabetes: Evidence from Epidemiological and Intervention Studies","container-title":"Nutrients","volume":"10","issue":"9","source":"PubMed Central","abstract":"Type 2 diabetes mellitus (T2DM) is one of the most common metabolic diseases and represents a leading cause of morbidity and mortality because of its related complications. The alarming rise in T2DM prevalence worldwide poses enormous challenges in relation to its social, economic, and a clinical burden requiring appropriate preventive strategies. Currently, lifestyle modifications—including approaches to promote a moderate body weight reduction and to increase regular physical exercise—are the first crucial intervention for T2DM prevention. In the light of the difficulty in reducing body weight and in long-term maintenance of weight loss, quality changes in dietary patterns—in terms of macro and micronutrient composition—can also strongly affect the development of T2DM. This may provide a more practical and suitable preventative approach than simply implementing caloric restriction. Along this line, there is increasing evidence that wholegrain consumption in substitution of refined grains is associated with a reduction of the incidence of several non-communicable chronic diseases. The aim of the present review is to summarize the current evidence from observational and randomized controlled clinical trials on the benefits of wholegrain on T2DM prevention and treatment. Plausible mechanisms by which wholegrain could act on glucose homeostasis and T2DM prevention are also evaluated. Altogether, the totality of the available evidence supports present dietary recommendations promoting wholegrain foods for the prevention and treatment of T2DM.","URL":"https://www.ncbi.nlm.nih.gov/pmc/articles/PMC6163785/","DOI":"10.3390/nu10091288","ISSN":"2072-6643","note":"PMID: 30213062\nPMCID: PMC6163785","title-short":"Wholegrain Intake and Risk of Type 2 Diabetes","journalAbbreviation":"Nutrients","author":[{"family":"Della Pepa","given":"Giuseppe"},{"family":"Vetrani","given":"Claudia"},{"family":"Vitale","given":"Marilena"},{"family":"Riccardi","given":"Gabriele"}],"issued":{"date-parts":[["2018",9,12]]},"accessed":{"date-parts":[["2020",2,8]]}}}],"schema":"https://github.com/citation-style-language/schema/raw/master/csl-citation.json"} </w:instrText>
      </w:r>
      <w:r w:rsidRPr="00D3581F">
        <w:rPr>
          <w:color w:val="000000"/>
          <w:sz w:val="20"/>
          <w:szCs w:val="20"/>
        </w:rPr>
        <w:fldChar w:fldCharType="separate"/>
      </w:r>
      <w:r w:rsidR="00302A47" w:rsidRPr="00D3581F">
        <w:rPr>
          <w:sz w:val="20"/>
          <w:szCs w:val="20"/>
        </w:rPr>
        <w:t>(Della Pepa et al., 2018)</w:t>
      </w:r>
      <w:r w:rsidRPr="00D3581F">
        <w:rPr>
          <w:color w:val="000000"/>
          <w:sz w:val="20"/>
          <w:szCs w:val="20"/>
        </w:rPr>
        <w:fldChar w:fldCharType="end"/>
      </w:r>
      <w:r w:rsidRPr="00D3581F">
        <w:rPr>
          <w:color w:val="000000"/>
          <w:sz w:val="20"/>
          <w:szCs w:val="20"/>
        </w:rPr>
        <w:t>. Concentrarse en los grupos de alimentos, por lo tanto, puede ayudar a comprender el papel que juegan los factores dietético</w:t>
      </w:r>
      <w:r w:rsidR="00CB3456" w:rsidRPr="00D3581F">
        <w:rPr>
          <w:color w:val="000000"/>
          <w:sz w:val="20"/>
          <w:szCs w:val="20"/>
        </w:rPr>
        <w:t>s en el riesgo de desarrollar DM</w:t>
      </w:r>
      <w:r w:rsidRPr="00D3581F">
        <w:rPr>
          <w:color w:val="000000"/>
          <w:sz w:val="20"/>
          <w:szCs w:val="20"/>
        </w:rPr>
        <w:t>2 en un nivel que podría comunicarse más fácilmente al público y podría formar la base de recomendaciones dietéticas para prevenir enfermedades crónicas.</w:t>
      </w:r>
    </w:p>
    <w:p w14:paraId="6AEC48EC" w14:textId="77777777" w:rsidR="00237016" w:rsidRPr="00D3581F" w:rsidRDefault="00237016" w:rsidP="00664C11">
      <w:pPr>
        <w:pStyle w:val="NormalWeb"/>
        <w:shd w:val="clear" w:color="auto" w:fill="FFFFFF"/>
        <w:spacing w:before="0" w:beforeAutospacing="0" w:after="240" w:afterAutospacing="0"/>
        <w:jc w:val="both"/>
        <w:rPr>
          <w:color w:val="000000"/>
          <w:sz w:val="20"/>
          <w:szCs w:val="20"/>
        </w:rPr>
      </w:pPr>
      <w:r w:rsidRPr="00D3581F">
        <w:rPr>
          <w:color w:val="000000"/>
          <w:sz w:val="20"/>
          <w:szCs w:val="20"/>
        </w:rPr>
        <w:t>En este contexto, los grupos de alimentos pueden ser de interés al ana</w:t>
      </w:r>
      <w:r w:rsidR="00CB3456" w:rsidRPr="00D3581F">
        <w:rPr>
          <w:color w:val="000000"/>
          <w:sz w:val="20"/>
          <w:szCs w:val="20"/>
        </w:rPr>
        <w:t>lizar la dieta y el riesgo de DM</w:t>
      </w:r>
      <w:r w:rsidRPr="00D3581F">
        <w:rPr>
          <w:color w:val="000000"/>
          <w:sz w:val="20"/>
          <w:szCs w:val="20"/>
        </w:rPr>
        <w:t xml:space="preserve">2 porque son la base de la mayoría de los índices / puntajes de calidad de la dieta: granos enteros / cereales, granos / cereales refinados, verduras, frutas, nueces, legumbres, huevos, productos lácteos (leche, queso, yogur), pescado, carne roja, carne procesada y bebidas azucaradas </w:t>
      </w:r>
      <w:r w:rsidRPr="00D3581F">
        <w:rPr>
          <w:color w:val="000000"/>
          <w:sz w:val="20"/>
          <w:szCs w:val="20"/>
        </w:rPr>
        <w:fldChar w:fldCharType="begin"/>
      </w:r>
      <w:r w:rsidR="00302A47" w:rsidRPr="00D3581F">
        <w:rPr>
          <w:color w:val="000000"/>
          <w:sz w:val="20"/>
          <w:szCs w:val="20"/>
        </w:rPr>
        <w:instrText xml:space="preserve"> ADDIN ZOTERO_ITEM CSL_CITATION {"citationID":"2sOHLMMZ","properties":{"formattedCitation":"(Beigrezaei et\\uc0\\u160{}al., 2019)","plainCitation":"(Beigrezaei et al., 2019)","noteIndex":0},"citationItems":[{"id":2848,"uris":["http://zotero.org/users/5489988/items/VQXL4GIQ"],"uri":["http://zotero.org/users/5489988/items/VQXL4GIQ"],"itemData":{"id":2848,"type":"article-journal","title":"Relationship between Dietary Patterns and Incidence of Type 2 Diabetes","container-title":"International Journal of Preventive Medicine","volume":"10","source":"PubMed Central","abstract":"Introduction:\nIncreasing rate of type 2 diabetes (T2D) prevalence during the recent years has caused concern about significant risks for the public health. Dietary patterns have recently attracted great attention in the evaluation of the relationship between diet and health. In the present study, we investigated the relationship between the major identified dietary patterns and T2D.\n\nMethods:\nIn this matched case–control study, 315 individuals (125 newly diagnosed cases and 190 controls); 18–60 years of age were selected. A valid semiquantitative food frequency questionnaire was used to collect dietary intakes of individuals. Anthropometric characteristics and blood pressure were measured with standard instructions and body mass index and waist to hip ratio were calculated. Factor analysis was used to identify major dietary patterns. The relationship between major food patterns and T2D was assessed by logistic regression analysis.\n\nResults:\nTwo dietary patterns were identified: healthy and Western dietary patterns. The second tertile of the healthy dietary pattern had significantly association with decreased risk of T2D in the crude model (Odds ratios [OR]: 0.51, 95% Confidence interval [CI]: 0.29–0.9; P for trend = 0.018), Model II (OR: 0.5, 95% CI: 0.27–0.9; P for trend = 0.019), and Model III (OR: 0.56, 95% CI: 0.23–1.4 P for trend = 0.048). The inverse association of the second tertile of Western dietary pattern score with the T2D was significant in crude (OR: 9.25, 95% CI: 4.95–17.4; P for trend &lt;0.001) and multivariable-adjusted model (OR: 16.65, 95% CI: 2.99–92.84; P for trend &lt;0001).\n\nConclusions:\nOur study found an inverse relationship between adherence of healthy pattern and direct association with Western dietary pattern and the risk of T2D.","URL":"https://www.ncbi.nlm.nih.gov/pmc/articles/PMC6639850/","DOI":"10.4103/ijpvm.IJPVM_206_17","ISSN":"2008-7802","note":"PMID: 31367285\nPMCID: PMC6639850","journalAbbreviation":"Int J Prev Med","author":[{"family":"Beigrezaei","given":"Sara"},{"family":"Ghiasvand","given":"Reza"},{"family":"Feizi","given":"Awat"},{"family":"Iraj","given":"Bijan"}],"issued":{"date-parts":[["2019",7,5]]},"accessed":{"date-parts":[["2020",2,8]]}}}],"schema":"https://github.com/citation-style-language/schema/raw/master/csl-citation.json"} </w:instrText>
      </w:r>
      <w:r w:rsidRPr="00D3581F">
        <w:rPr>
          <w:color w:val="000000"/>
          <w:sz w:val="20"/>
          <w:szCs w:val="20"/>
        </w:rPr>
        <w:fldChar w:fldCharType="separate"/>
      </w:r>
      <w:r w:rsidR="00302A47" w:rsidRPr="00D3581F">
        <w:rPr>
          <w:sz w:val="20"/>
          <w:szCs w:val="20"/>
        </w:rPr>
        <w:t>(Beigrezaei et al., 2019)</w:t>
      </w:r>
      <w:r w:rsidRPr="00D3581F">
        <w:rPr>
          <w:color w:val="000000"/>
          <w:sz w:val="20"/>
          <w:szCs w:val="20"/>
        </w:rPr>
        <w:fldChar w:fldCharType="end"/>
      </w:r>
      <w:r w:rsidRPr="00D3581F">
        <w:rPr>
          <w:color w:val="000000"/>
          <w:sz w:val="20"/>
          <w:szCs w:val="20"/>
        </w:rPr>
        <w:t>.</w:t>
      </w:r>
    </w:p>
    <w:p w14:paraId="05B680FF" w14:textId="77777777" w:rsidR="00237016" w:rsidRPr="00D3581F" w:rsidRDefault="00237016" w:rsidP="00664C11">
      <w:pPr>
        <w:pStyle w:val="NormalWeb"/>
        <w:shd w:val="clear" w:color="auto" w:fill="FFFFFF"/>
        <w:spacing w:before="0" w:beforeAutospacing="0" w:after="240" w:afterAutospacing="0"/>
        <w:jc w:val="both"/>
        <w:rPr>
          <w:color w:val="000000"/>
          <w:sz w:val="20"/>
          <w:szCs w:val="20"/>
          <w:shd w:val="clear" w:color="auto" w:fill="FFFFFF"/>
        </w:rPr>
      </w:pPr>
      <w:r w:rsidRPr="00D3581F">
        <w:rPr>
          <w:color w:val="000000"/>
          <w:sz w:val="20"/>
          <w:szCs w:val="20"/>
          <w:shd w:val="clear" w:color="auto" w:fill="FFFFFF"/>
        </w:rPr>
        <w:t xml:space="preserve">La creciente tasa de prevalencia de diabetes tipo 2 durante los últimos años ha causado preocupación por </w:t>
      </w:r>
      <w:r w:rsidRPr="00D3581F">
        <w:rPr>
          <w:color w:val="000000"/>
          <w:sz w:val="20"/>
          <w:szCs w:val="20"/>
          <w:shd w:val="clear" w:color="auto" w:fill="FFFFFF"/>
        </w:rPr>
        <w:t>los riesgos significativos para la salud pública. Los patrones dietéticos han atraído recientemente una gran atención en la evaluación de la relación entre dieta y salud. En el presente estudio, investigamos la relación entre los principales patrones dietéticos identificados y la diabetes tipo 2.</w:t>
      </w:r>
    </w:p>
    <w:p w14:paraId="457F70DB" w14:textId="77777777" w:rsidR="00C737E7" w:rsidRPr="00D3581F" w:rsidRDefault="00237016" w:rsidP="00664C11">
      <w:pPr>
        <w:pStyle w:val="NormalWeb"/>
        <w:shd w:val="clear" w:color="auto" w:fill="FFFFFF"/>
        <w:spacing w:before="0" w:beforeAutospacing="0" w:after="240" w:afterAutospacing="0"/>
        <w:jc w:val="both"/>
        <w:rPr>
          <w:color w:val="000000"/>
          <w:sz w:val="20"/>
          <w:szCs w:val="20"/>
          <w:shd w:val="clear" w:color="auto" w:fill="FFFFFF"/>
        </w:rPr>
      </w:pPr>
      <w:r w:rsidRPr="00D3581F">
        <w:rPr>
          <w:color w:val="000000"/>
          <w:sz w:val="20"/>
          <w:szCs w:val="20"/>
          <w:shd w:val="clear" w:color="auto" w:fill="FFFFFF"/>
        </w:rPr>
        <w:t>La Organización Mundial de la Salud p</w:t>
      </w:r>
      <w:r w:rsidR="00CB3456" w:rsidRPr="00D3581F">
        <w:rPr>
          <w:color w:val="000000"/>
          <w:sz w:val="20"/>
          <w:szCs w:val="20"/>
          <w:shd w:val="clear" w:color="auto" w:fill="FFFFFF"/>
        </w:rPr>
        <w:t xml:space="preserve">royecta que la diabetes será la </w:t>
      </w:r>
      <w:r w:rsidR="00022742" w:rsidRPr="00D3581F">
        <w:rPr>
          <w:color w:val="000000"/>
          <w:sz w:val="20"/>
          <w:szCs w:val="20"/>
          <w:shd w:val="clear" w:color="auto" w:fill="FFFFFF"/>
        </w:rPr>
        <w:t>séptima</w:t>
      </w:r>
      <w:r w:rsidRPr="00D3581F">
        <w:rPr>
          <w:color w:val="000000"/>
          <w:sz w:val="20"/>
          <w:szCs w:val="20"/>
          <w:shd w:val="clear" w:color="auto" w:fill="FFFFFF"/>
        </w:rPr>
        <w:t> causa de muerte en 2030</w:t>
      </w:r>
      <w:r w:rsidR="00C737E7" w:rsidRPr="00D3581F">
        <w:rPr>
          <w:color w:val="000000"/>
          <w:sz w:val="20"/>
          <w:szCs w:val="20"/>
          <w:shd w:val="clear" w:color="auto" w:fill="FFFFFF"/>
        </w:rPr>
        <w:t xml:space="preserve"> </w:t>
      </w:r>
      <w:r w:rsidR="00C737E7"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{"citationID":"XciVfUP3","properties":{"formattedCitation":"(Diabetes Canada Clinical Practice Guidelines Expert Committee et\\uc0\\u160{}al., 2018)","plainCitation":"(Diabetes Canada Clinical Practice Guidelines Expert Committee et al., 2018)","noteIndex":0},"citationItems":[{"id":2388,"uris":["http://zotero.org/users/5489988/items/KDKQKVN9"],"uri":["http://zotero.org/users/5489988/items/KDKQKVN9"],"itemData":{"id":2388,"type":"article-journal","title":"Reducing the Risk of Developing Diabetes","container-title":"Canadian Journal of Diabetes","page":"S20-S26","volume":"42 Suppl 1","source":"PubMed","DOI":"10.1016/j.jcjd.2017.10.033","ISSN":"2352-3840","note":"PMID: 29650097","journalAbbreviation":"Can J Diabetes","language":"eng","author":[{"literal":"Diabetes Canada Clinical Practice Guidelines Expert Committee"},{"family":"Prebtani","given":"Ally P. H."},{"family":"Bajaj","given":"Harpreet S."},{"family":"Goldenberg","given":"Ronald"},{"family":"Mullan","given":"Yvonne"}],"issued":{"date-parts":[["2018",4]]}}}],"schema":"https://github.com/citation-style-language/schema/raw/master/csl-citation.json"} </w:instrText>
      </w:r>
      <w:r w:rsidR="00C737E7" w:rsidRPr="00D3581F">
        <w:rPr>
          <w:color w:val="000000"/>
          <w:sz w:val="20"/>
          <w:szCs w:val="20"/>
          <w:shd w:val="clear" w:color="auto" w:fill="FFFFFF"/>
        </w:rPr>
        <w:fldChar w:fldCharType="separate"/>
      </w:r>
      <w:r w:rsidR="00302A47" w:rsidRPr="00D3581F">
        <w:rPr>
          <w:sz w:val="20"/>
          <w:szCs w:val="20"/>
        </w:rPr>
        <w:t>(Diabetes Canada Clinical Practice Guidelines Expert Committee et al., 2018)</w:t>
      </w:r>
      <w:r w:rsidR="00C737E7" w:rsidRPr="00D3581F">
        <w:rPr>
          <w:color w:val="000000"/>
          <w:sz w:val="20"/>
          <w:szCs w:val="20"/>
          <w:shd w:val="clear" w:color="auto" w:fill="FFFFFF"/>
        </w:rPr>
        <w:fldChar w:fldCharType="end"/>
      </w:r>
      <w:r w:rsidRPr="00D3581F">
        <w:rPr>
          <w:color w:val="000000"/>
          <w:sz w:val="20"/>
          <w:szCs w:val="20"/>
          <w:shd w:val="clear" w:color="auto" w:fill="FFFFFF"/>
        </w:rPr>
        <w:t>.</w:t>
      </w:r>
      <w:r w:rsidR="00C737E7" w:rsidRPr="00D3581F">
        <w:rPr>
          <w:color w:val="000000"/>
          <w:sz w:val="20"/>
          <w:szCs w:val="20"/>
          <w:shd w:val="clear" w:color="auto" w:fill="FFFFFF"/>
        </w:rPr>
        <w:t xml:space="preserve"> </w:t>
      </w:r>
      <w:r w:rsidRPr="00D3581F">
        <w:rPr>
          <w:color w:val="000000"/>
          <w:sz w:val="20"/>
          <w:szCs w:val="20"/>
          <w:shd w:val="clear" w:color="auto" w:fill="FFFFFF"/>
        </w:rPr>
        <w:t xml:space="preserve">Además, se ha pronosticado que los países en desarrollo constituirán el 77.6% de todos los pacientes con diabetes hasta 2030. </w:t>
      </w:r>
      <w:r w:rsidR="00C737E7"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{"citationID":"pMrVrIDZ","properties":{"formattedCitation":"(Hajivandi &amp; Amiri, 2013)","plainCitation":"(Hajivandi &amp; Amiri, 2013)","noteIndex":0},"citationItems":[{"id":2852,"uris":["http://zotero.org/users/5489988/items/PTP4IDYQ"],"uri":["http://zotero.org/users/5489988/items/PTP4IDYQ"],"itemData":{"id":2852,"type":"article-journal","title":"World diabetes day 2013: diabetes mellitus and nephrology","container-title":"Journal of Nephropharmacology","page":"31-32","volume":"2","issue":"2","source":"PubMed Central","ISSN":"2345-4202","note":"PMID: 28197442\nPMCID: PMC5297550","title-short":"World diabetes day 2013","journalAbbreviation":"J Nephropharmacol","author":[{"family":"Hajivandi","given":"Abdolah"},{"family":"Amiri","given":"Massood"}],"issued":{"date-parts":[["2013",7,1]]}}}],"schema":"https://github.com/citation-style-language/schema/raw/master/csl-citation.json"} </w:instrText>
      </w:r>
      <w:r w:rsidR="00C737E7" w:rsidRPr="00D3581F">
        <w:rPr>
          <w:color w:val="000000"/>
          <w:sz w:val="20"/>
          <w:szCs w:val="20"/>
          <w:shd w:val="clear" w:color="auto" w:fill="FFFFFF"/>
        </w:rPr>
        <w:fldChar w:fldCharType="separate"/>
      </w:r>
      <w:r w:rsidR="00302A47" w:rsidRPr="00D3581F">
        <w:rPr>
          <w:sz w:val="20"/>
          <w:szCs w:val="20"/>
        </w:rPr>
        <w:t>(Hajivandi &amp; Amiri, 2013)</w:t>
      </w:r>
      <w:r w:rsidR="00C737E7" w:rsidRPr="00D3581F">
        <w:rPr>
          <w:color w:val="000000"/>
          <w:sz w:val="20"/>
          <w:szCs w:val="20"/>
          <w:shd w:val="clear" w:color="auto" w:fill="FFFFFF"/>
        </w:rPr>
        <w:fldChar w:fldCharType="end"/>
      </w:r>
      <w:r w:rsidR="00C737E7" w:rsidRPr="00D3581F">
        <w:rPr>
          <w:color w:val="000000"/>
          <w:sz w:val="20"/>
          <w:szCs w:val="20"/>
          <w:shd w:val="clear" w:color="auto" w:fill="FFFFFF"/>
        </w:rPr>
        <w:t>.</w:t>
      </w:r>
      <w:r w:rsidRPr="00D3581F">
        <w:rPr>
          <w:color w:val="000000"/>
          <w:sz w:val="20"/>
          <w:szCs w:val="20"/>
          <w:shd w:val="clear" w:color="auto" w:fill="FFFFFF"/>
        </w:rPr>
        <w:t xml:space="preserve"> Irán estuvo entre los países con el mayor número de pacientes con diabetes en el Medio Orient</w:t>
      </w:r>
      <w:r w:rsidR="00C737E7" w:rsidRPr="00D3581F">
        <w:rPr>
          <w:color w:val="000000"/>
          <w:sz w:val="20"/>
          <w:szCs w:val="20"/>
          <w:shd w:val="clear" w:color="auto" w:fill="FFFFFF"/>
        </w:rPr>
        <w:t>e y África del Norte en 2015, l</w:t>
      </w:r>
      <w:r w:rsidRPr="00D3581F">
        <w:rPr>
          <w:color w:val="000000"/>
          <w:sz w:val="20"/>
          <w:szCs w:val="20"/>
          <w:shd w:val="clear" w:color="auto" w:fill="FFFFFF"/>
        </w:rPr>
        <w:t>as principales razones incluyen una dieta poco saludable, obesidad, vida sedentaria y envejecimiento</w:t>
      </w:r>
      <w:r w:rsidR="00C737E7" w:rsidRPr="00D3581F">
        <w:rPr>
          <w:color w:val="000000"/>
          <w:sz w:val="20"/>
          <w:szCs w:val="20"/>
          <w:shd w:val="clear" w:color="auto" w:fill="FFFFFF"/>
        </w:rPr>
        <w:t xml:space="preserve"> </w:t>
      </w:r>
      <w:r w:rsidR="00C737E7"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{"citationID":"J54eduww","properties":{"formattedCitation":"(Moradi et\\uc0\\u160{}al., 2015)","plainCitation":"(Moradi et al., 2015)","noteIndex":0},"citationItems":[{"id":2855,"uris":["http://zotero.org/users/5489988/items/7CGU2HXS"],"uri":["http://zotero.org/users/5489988/items/7CGU2HXS"],"itemData":{"id":2855,"type":"article-journal","title":"AT1R A1166C variants in patients with type 2 diabetes mellitus and diabetic nephropathy","container-title":"Journal of Nephropathology","page":"69-76","volume":"4","issue":"3","source":"PubMed","abstract":"BACKGROUND: There are inconsistent reports related to the role of angiotensin II type 1 receptor (AT1R) on the risk of type 2 diabetes mellitus (T2DM) and its renal complications.\nOBJECTIVES: To identify the association between AT1R A1166C variants with the risk of T2DM and also with diabetic nephropathy (DN).\nPATIENTS AND METHODS: In a case-control study, the AT1R A1166C polymorphism was detected in 135 T2DM patients with and without DN and in 98 healthy subjects from Western Iran. The genotypes of AT1R A1166C polymorphism were detected using polymerase chain reaction-restriction fragment length polymorphism (PCR-RFLP) method.\nRESULTS: The frequencies of AT1R A1166C genotypes and alleles were not significantly difference between patients with and without DN and controls. The frequencies of rare allele of 1166 C were 10%, 16.5%, 15.9% and 15.3% in micro-, macro- and normo-albuminuric patients and in healthy individuals, respectively ( P &gt; 0.05). The systolic blood pressure and serum creatinine level in DN patients were significantly higher in carriers of AT1R CC compared to carriers of AT1R AA genotype. In the presence of uncontrolled hyperglycemia (HbA1c &gt; 7.5%), there was a trend toward increased risk of macro-albuminuria in carriers of AC+CC genotype (OR=3.66, [95% CI: 0.81-16.58], P = 0.092).\nCONCLUSIONS: Our study indicated the absence of an association between AT1R A1166C polymorphism with the risk of T2DM and DN. It seems in carriers of AT1R C allele systolic blood pressure and serum creatinine level to be higher compared to the A allele carriers.","DOI":"10.12860/jnp.2015.14","ISSN":"2251-8363","note":"PMID: 26310144\nPMCID: PMC4544557","journalAbbreviation":"J Nephropathol","language":"eng","author":[{"family":"Moradi","given":"Mahmoudreza"},{"family":"Rahimi","given":"Zohreh"},{"family":"Amiri","given":"Sonia"},{"family":"Rahimi","given":"Ziba"},{"family":"Vessal","given":"Mahmood"},{"family":"Nasri","given":"Hamid"}],"issued":{"date-parts":[["2015",7]]}}}],"schema":"https://github.com/citation-style-language/schema/raw/master/csl-citation.json"} </w:instrText>
      </w:r>
      <w:r w:rsidR="00C737E7" w:rsidRPr="00D3581F">
        <w:rPr>
          <w:color w:val="000000"/>
          <w:sz w:val="20"/>
          <w:szCs w:val="20"/>
          <w:shd w:val="clear" w:color="auto" w:fill="FFFFFF"/>
        </w:rPr>
        <w:fldChar w:fldCharType="separate"/>
      </w:r>
      <w:r w:rsidR="00302A47" w:rsidRPr="00D3581F">
        <w:rPr>
          <w:sz w:val="20"/>
          <w:szCs w:val="20"/>
        </w:rPr>
        <w:t>(Moradi et al., 2015)</w:t>
      </w:r>
      <w:r w:rsidR="00C737E7" w:rsidRPr="00D3581F">
        <w:rPr>
          <w:color w:val="000000"/>
          <w:sz w:val="20"/>
          <w:szCs w:val="20"/>
          <w:shd w:val="clear" w:color="auto" w:fill="FFFFFF"/>
        </w:rPr>
        <w:fldChar w:fldCharType="end"/>
      </w:r>
      <w:r w:rsidRPr="00D3581F">
        <w:rPr>
          <w:color w:val="000000"/>
          <w:sz w:val="20"/>
          <w:szCs w:val="20"/>
          <w:shd w:val="clear" w:color="auto" w:fill="FFFFFF"/>
        </w:rPr>
        <w:t>.</w:t>
      </w:r>
      <w:r w:rsidR="00C737E7" w:rsidRPr="00D3581F">
        <w:rPr>
          <w:color w:val="000000"/>
          <w:sz w:val="20"/>
          <w:szCs w:val="20"/>
          <w:shd w:val="clear" w:color="auto" w:fill="FFFFFF"/>
        </w:rPr>
        <w:t xml:space="preserve"> </w:t>
      </w:r>
      <w:r w:rsidRPr="00D3581F">
        <w:rPr>
          <w:color w:val="000000"/>
          <w:sz w:val="20"/>
          <w:szCs w:val="20"/>
          <w:shd w:val="clear" w:color="auto" w:fill="FFFFFF"/>
        </w:rPr>
        <w:t xml:space="preserve">La diabetes tipo 2 es una de las principales causas de problemas de salud, como enfermedades cardiovasculares, accidente cerebrovascular, daño renal, ceguera, amputación de piernas y complicaciones diabéticas, que son inherentemente incapacitantes, costosas y a menudo fatales. </w:t>
      </w:r>
    </w:p>
    <w:p w14:paraId="45196091" w14:textId="77777777" w:rsidR="00237016" w:rsidRPr="00D3581F" w:rsidRDefault="00237016" w:rsidP="00664C11">
      <w:pPr>
        <w:pStyle w:val="NormalWeb"/>
        <w:shd w:val="clear" w:color="auto" w:fill="FFFFFF"/>
        <w:spacing w:before="0" w:beforeAutospacing="0" w:after="240" w:afterAutospacing="0"/>
        <w:jc w:val="both"/>
        <w:rPr>
          <w:color w:val="000000"/>
          <w:sz w:val="20"/>
          <w:szCs w:val="20"/>
          <w:shd w:val="clear" w:color="auto" w:fill="FFFFFF"/>
        </w:rPr>
      </w:pPr>
      <w:r w:rsidRPr="00D3581F">
        <w:rPr>
          <w:color w:val="000000"/>
          <w:sz w:val="20"/>
          <w:szCs w:val="20"/>
          <w:shd w:val="clear" w:color="auto" w:fill="FFFFFF"/>
        </w:rPr>
        <w:t>En términos económicos costos, los costos de tratamiento de un paciente con diabetes son de 2 a 4 veces mayores que los de un paciente común en todos los sistemas de atención médica</w:t>
      </w:r>
      <w:r w:rsidR="00C737E7" w:rsidRPr="00D3581F">
        <w:rPr>
          <w:color w:val="000000"/>
          <w:sz w:val="20"/>
          <w:szCs w:val="20"/>
          <w:shd w:val="clear" w:color="auto" w:fill="FFFFFF"/>
        </w:rPr>
        <w:t xml:space="preserve"> </w:t>
      </w:r>
      <w:r w:rsidR="00C737E7"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{"citationID":"E2QYiR2F","properties":{"formattedCitation":"(Chukwuonye et\\uc0\\u160{}al., 2013)","plainCitation":"(Chukwuonye et al., 2013)","noteIndex":0},"citationItems":[{"id":1479,"uris":["http://zotero.org/users/5489988/items/9IUYCVP6"],"uri":["http://zotero.org/users/5489988/items/9IUYCVP6"],"itemData":{"id":1479,"type":"article-journal","title":"Prevalence of overweight and obesity in adult Nigerians - a systematic review","container-title":"Diabetes, Metabolic Syndrome and Obesity: Targets and Therapy","page":"43-47","volume":"6","source":"PubMed","abstract":"BACKGROUND: Obesity is a major health problem, and there is an increasing trend of overweight and obese individuals in developing countries. Being overweight or obese is known to contribute significantly to morbidity and mortality rates in various countries around the world. We therefore aimed to identify and discuss current epidemiological data on the prevalence of obesity in Nigeria.\nMETHOD: A systematic review of papers published on the prevalence of obesity among adults in the country was carried out. We covered work published in MEDLINE, PubMed, Google, and African Journals Online using the terms \"prevalence of overweight and obesity in Nigeria\" or \"overweight and obesity in Nigeria.\" In addition, personal inquiries were made. The search limits were articles published from January 2001 to September 2012. Only studies that used the body mass index to assess for overweight and obesity were included.\nRESULTS: Four studies met the inclusion criteria out of the 75 studies reviewed. In Nigeria, the prevalence of overweight individuals ranged from 20.3%-35.1%, while the prevalence of obesity ranged from 8.1%-22.2%.\nCONCLUSION: The prevalence of overweight and obese individuals in Nigeria is of epidemic proportions. There is a need to pay closer attention to combating these health disorders.","DOI":"10.2147/DMSO.S38626","ISSN":"1178-7007","note":"PMID: 23573067\nPMCID: PMC3556860","journalAbbreviation":"Diabetes Metab Syndr Obes","language":"eng","author":[{"family":"Chukwuonye","given":"Innocent Ijezie"},{"family":"Chuku","given":"Abali"},{"family":"John","given":"Collins"},{"family":"Ohagwu","given":"Kenneth Arinze"},{"family":"Imoh","given":"Miracle Erinma"},{"family":"Isa","given":"Samson Ejiji"},{"family":"Ogah","given":"Okechukwu Samuel"},{"family":"Oviasu","given":"Efosa"}],"issued":{"date-parts":[["2013"]]}}}],"schema":"https://github.com/citation-style-language/schema/raw/master/csl-citation.json"} </w:instrText>
      </w:r>
      <w:r w:rsidR="00C737E7" w:rsidRPr="00D3581F">
        <w:rPr>
          <w:color w:val="000000"/>
          <w:sz w:val="20"/>
          <w:szCs w:val="20"/>
          <w:shd w:val="clear" w:color="auto" w:fill="FFFFFF"/>
        </w:rPr>
        <w:fldChar w:fldCharType="separate"/>
      </w:r>
      <w:r w:rsidR="00302A47" w:rsidRPr="00D3581F">
        <w:rPr>
          <w:sz w:val="20"/>
          <w:szCs w:val="20"/>
        </w:rPr>
        <w:t>(Chukwuonye et al., 2013)</w:t>
      </w:r>
      <w:r w:rsidR="00C737E7" w:rsidRPr="00D3581F">
        <w:rPr>
          <w:color w:val="000000"/>
          <w:sz w:val="20"/>
          <w:szCs w:val="20"/>
          <w:shd w:val="clear" w:color="auto" w:fill="FFFFFF"/>
        </w:rPr>
        <w:fldChar w:fldCharType="end"/>
      </w:r>
      <w:r w:rsidRPr="00D3581F">
        <w:rPr>
          <w:color w:val="000000"/>
          <w:sz w:val="20"/>
          <w:szCs w:val="20"/>
          <w:shd w:val="clear" w:color="auto" w:fill="FFFFFF"/>
        </w:rPr>
        <w:t>. La diabetes impone altos costos indirectos en comparación con otras enfermedades, cuya prevención y control se considera u</w:t>
      </w:r>
      <w:r w:rsidR="00C737E7" w:rsidRPr="00D3581F">
        <w:rPr>
          <w:color w:val="000000"/>
          <w:sz w:val="20"/>
          <w:szCs w:val="20"/>
          <w:shd w:val="clear" w:color="auto" w:fill="FFFFFF"/>
        </w:rPr>
        <w:t xml:space="preserve">n prioridad en todos los países </w:t>
      </w:r>
      <w:r w:rsidR="00C737E7"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{"citationID":"H6WjqDwd","properties":{"formattedCitation":"(Mandalazi et\\uc0\\u160{}al., 2016)","plainCitation":"(Mandalazi et al., 2016)","noteIndex":0},"citationItems":[{"id":2857,"uris":["http://zotero.org/users/5489988/items/5CI27CMK"],"uri":["http://zotero.org/users/5489988/items/5CI27CMK"],"itemData":{"id":2857,"type":"article-journal","title":"A High Diet Quality Based on Dietary Recommendations Is Not Associated with Lower Incidence of Type 2 Diabetes in the Malmö Diet and Cancer Cohort","container-title":"International Journal of Molecular Sciences","volume":"17","issue":"6","source":"PubMed Central","abstract":"A high diet quality index based on Swedish nutrition recommendations has previously been associated with reduced risk of cardiovascular disease and mortality in the Malmö Diet and Cancer (MDC) cohort. The aim of the present study was to investigate whether this diet quality index was associated with the risk for type 2 diabetes. Of 26,868 participants (44–74 years) in the MDC cohort study, 3838 type 2 diabetes cases were identified from registers during 17 years of follow-up. A diet quality index (from a modified diet history method) was constructed based on adherence to the recommended intakes of saturated fat, polyunsaturated fat, fish, fiber, fruit and vegetables, and sucrose. After adjusting for potential confounders, we observed no significant association between the diet quality index and type 2 diabetes risk. The HR for the highest vs. lowest index category was 1.06 (95% CI: 0.94, 1.20; p-trend = 0.56). Because of the protective associations shown for cardiovascular disease and mortality, the specific dietary components that were chosen to represent adherence to the recommendations may be less applicable to type 2 diabetes risk.","URL":"https://www.ncbi.nlm.nih.gov/pmc/articles/PMC4926435/","DOI":"10.3390/ijms17060901","ISSN":"1422-0067","note":"PMID: 27338354\nPMCID: PMC4926435","journalAbbreviation":"Int J Mol Sci","author":[{"family":"Mandalazi","given":"Emmanuel"},{"family":"Drake","given":"Isabel"},{"family":"Wirfält","given":"Elisabet"},{"family":"Orho-Melander","given":"Marju"},{"family":"Sonestedt","given":"Emily"}],"issued":{"date-parts":[["2016",6,8]]},"accessed":{"date-parts":[["2020",2,8]]}}}],"schema":"https://github.com/citation-style-language/schema/raw/master/csl-citation.json"} </w:instrText>
      </w:r>
      <w:r w:rsidR="00C737E7" w:rsidRPr="00D3581F">
        <w:rPr>
          <w:color w:val="000000"/>
          <w:sz w:val="20"/>
          <w:szCs w:val="20"/>
          <w:shd w:val="clear" w:color="auto" w:fill="FFFFFF"/>
        </w:rPr>
        <w:fldChar w:fldCharType="separate"/>
      </w:r>
      <w:r w:rsidR="00302A47" w:rsidRPr="00D3581F">
        <w:rPr>
          <w:sz w:val="20"/>
          <w:szCs w:val="20"/>
        </w:rPr>
        <w:t>(Mandalazi et al., 2016)</w:t>
      </w:r>
      <w:r w:rsidR="00C737E7" w:rsidRPr="00D3581F">
        <w:rPr>
          <w:color w:val="000000"/>
          <w:sz w:val="20"/>
          <w:szCs w:val="20"/>
          <w:shd w:val="clear" w:color="auto" w:fill="FFFFFF"/>
        </w:rPr>
        <w:fldChar w:fldCharType="end"/>
      </w:r>
      <w:r w:rsidR="00C737E7" w:rsidRPr="00D3581F">
        <w:rPr>
          <w:color w:val="000000"/>
          <w:sz w:val="20"/>
          <w:szCs w:val="20"/>
          <w:shd w:val="clear" w:color="auto" w:fill="FFFFFF"/>
        </w:rPr>
        <w:t>.</w:t>
      </w:r>
      <w:r w:rsidRPr="00D3581F">
        <w:rPr>
          <w:color w:val="000000"/>
          <w:sz w:val="20"/>
          <w:szCs w:val="20"/>
          <w:shd w:val="clear" w:color="auto" w:fill="FFFFFF"/>
        </w:rPr>
        <w:t xml:space="preserve"> Varios factores relacionados con el estilo de vida afectan la incidencia de </w:t>
      </w:r>
      <w:r w:rsidR="0056788D" w:rsidRPr="00D3581F">
        <w:rPr>
          <w:color w:val="000000"/>
          <w:sz w:val="20"/>
          <w:szCs w:val="20"/>
          <w:shd w:val="clear" w:color="auto" w:fill="FFFFFF"/>
        </w:rPr>
        <w:t>DM</w:t>
      </w:r>
      <w:r w:rsidR="00C737E7" w:rsidRPr="00D3581F">
        <w:rPr>
          <w:color w:val="000000"/>
          <w:sz w:val="20"/>
          <w:szCs w:val="20"/>
          <w:shd w:val="clear" w:color="auto" w:fill="FFFFFF"/>
        </w:rPr>
        <w:t>2</w:t>
      </w:r>
      <w:r w:rsidRPr="00D3581F">
        <w:rPr>
          <w:color w:val="000000"/>
          <w:sz w:val="20"/>
          <w:szCs w:val="20"/>
          <w:shd w:val="clear" w:color="auto" w:fill="FFFFFF"/>
        </w:rPr>
        <w:t xml:space="preserve">. Por ejemplo, la obesidad y el sobrepeso aumentan significativamente el riesgo de </w:t>
      </w:r>
      <w:r w:rsidR="0056788D" w:rsidRPr="00D3581F">
        <w:rPr>
          <w:color w:val="000000"/>
          <w:sz w:val="20"/>
          <w:szCs w:val="20"/>
          <w:shd w:val="clear" w:color="auto" w:fill="FFFFFF"/>
        </w:rPr>
        <w:t>DM</w:t>
      </w:r>
      <w:r w:rsidR="00C737E7" w:rsidRPr="00D3581F">
        <w:rPr>
          <w:color w:val="000000"/>
          <w:sz w:val="20"/>
          <w:szCs w:val="20"/>
          <w:shd w:val="clear" w:color="auto" w:fill="FFFFFF"/>
        </w:rPr>
        <w:t>2</w:t>
      </w:r>
      <w:r w:rsidRPr="00D3581F">
        <w:rPr>
          <w:color w:val="000000"/>
          <w:sz w:val="20"/>
          <w:szCs w:val="20"/>
          <w:shd w:val="clear" w:color="auto" w:fill="FFFFFF"/>
        </w:rPr>
        <w:t xml:space="preserve">, también la inactividad física es un factor primario que aumenta independientemente el riesgo de </w:t>
      </w:r>
      <w:r w:rsidR="0056788D" w:rsidRPr="00D3581F">
        <w:rPr>
          <w:color w:val="000000"/>
          <w:sz w:val="20"/>
          <w:szCs w:val="20"/>
          <w:shd w:val="clear" w:color="auto" w:fill="FFFFFF"/>
        </w:rPr>
        <w:t>DM</w:t>
      </w:r>
      <w:r w:rsidR="00C737E7" w:rsidRPr="00D3581F">
        <w:rPr>
          <w:color w:val="000000"/>
          <w:sz w:val="20"/>
          <w:szCs w:val="20"/>
          <w:shd w:val="clear" w:color="auto" w:fill="FFFFFF"/>
        </w:rPr>
        <w:t xml:space="preserve">2 </w:t>
      </w:r>
      <w:r w:rsidR="00C737E7"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{"citationID":"pQXJBgch","properties":{"formattedCitation":"(Gutierrez et\\uc0\\u160{}al., 2018)","plainCitation":"(Gutierrez et al., 2018)","noteIndex":0},"citationItems":[{"id":772,"uris":["http://zotero.org/users/5489988/items/UWG23WJR"],"uri":["http://zotero.org/users/5489988/items/UWG23WJR"],"itemData":{"id":772,"type":"article-journal","title":"Cardiovascular Disease Risk Factors: Hypertension, Diabetes Mellitus and Obesity among Tabuk Citizens in Saudi Arabia","container-title":"The Open Cardiovascular Medicine Journal","page":"41-49","volume":"12","source":"PubMed Central","abstract":"Background:\nCardiovascular Disease (CVD) is considered as the main cause of death worldwide. Identifying the links among CVDs risk factors can help decrease CVD-related deaths.\n\nAim:\nTo assess the prevalence of risk factors for CVD and their relationships among the Tabuk City population in Saudi Arabia.\n\nMethods:\nA cross-sectional design was used; 432 participants in the Tabuk region were included in this study.\n\nResults:\nThe prevalence of diabetes mellitus (DM) was 5.6%, the prevalence of hypertension (HTN) was 11.1% and obesity and overweight together were 69.9%. Mean Body Mass Index (BMI), HTN, and DM increased with age. There was a correlation between BMI with HTN (r=.200, p&lt;.001), BMI and DM (r=.149, p&lt;.001) and DM and HTN (r=.366, p&lt;.001).\n\nConclusion:\nPublic awareness may help in reducing the prevalence of CVD.","DOI":"10.2174/1874192401812010041","ISSN":"1874-1924","note":"PMID: 29755600\nPMCID: PMC5925866","title-short":"Cardiovascular Disease Risk Factors","journalAbbreviation":"Open Cardiovasc Med J","author":[{"family":"Gutierrez","given":"Jeneth"},{"family":"Alloubani","given":"Aladeen"},{"family":"Mari","given":"Mohammad"},{"family":"Alzaatreh","given":"Mohammad"}],"issued":{"date-parts":[["2018",4,23]]}}}],"schema":"https://github.com/citation-style-language/schema/raw/master/csl-citation.json"} </w:instrText>
      </w:r>
      <w:r w:rsidR="00C737E7" w:rsidRPr="00D3581F">
        <w:rPr>
          <w:color w:val="000000"/>
          <w:sz w:val="20"/>
          <w:szCs w:val="20"/>
          <w:shd w:val="clear" w:color="auto" w:fill="FFFFFF"/>
        </w:rPr>
        <w:fldChar w:fldCharType="separate"/>
      </w:r>
      <w:r w:rsidR="00302A47" w:rsidRPr="00D3581F">
        <w:rPr>
          <w:sz w:val="20"/>
          <w:szCs w:val="20"/>
        </w:rPr>
        <w:t>(Gutierrez et al., 2018)</w:t>
      </w:r>
      <w:r w:rsidR="00C737E7" w:rsidRPr="00D3581F">
        <w:rPr>
          <w:color w:val="000000"/>
          <w:sz w:val="20"/>
          <w:szCs w:val="20"/>
          <w:shd w:val="clear" w:color="auto" w:fill="FFFFFF"/>
        </w:rPr>
        <w:fldChar w:fldCharType="end"/>
      </w:r>
      <w:r w:rsidRPr="00D3581F">
        <w:rPr>
          <w:color w:val="000000"/>
          <w:sz w:val="20"/>
          <w:szCs w:val="20"/>
          <w:shd w:val="clear" w:color="auto" w:fill="FFFFFF"/>
        </w:rPr>
        <w:t>.</w:t>
      </w:r>
    </w:p>
    <w:p w14:paraId="799A80CD" w14:textId="77777777" w:rsidR="00C737E7" w:rsidRPr="00D3581F" w:rsidRDefault="00C737E7" w:rsidP="00664C11">
      <w:pPr>
        <w:pStyle w:val="NormalWeb"/>
        <w:shd w:val="clear" w:color="auto" w:fill="FFFFFF"/>
        <w:spacing w:before="0" w:beforeAutospacing="0" w:after="240" w:afterAutospacing="0"/>
        <w:jc w:val="both"/>
        <w:rPr>
          <w:color w:val="000000"/>
          <w:sz w:val="20"/>
          <w:szCs w:val="20"/>
          <w:shd w:val="clear" w:color="auto" w:fill="FFFFFF"/>
        </w:rPr>
      </w:pPr>
      <w:r w:rsidRPr="00D3581F">
        <w:rPr>
          <w:color w:val="000000"/>
          <w:sz w:val="20"/>
          <w:szCs w:val="20"/>
          <w:shd w:val="clear" w:color="auto" w:fill="FFFFFF"/>
        </w:rPr>
        <w:t xml:space="preserve">Se ha demostrado que los hábitos alimentarios están relacionados con el desarrollo y el manejo de la diabetes tipo 2, por ejemplo, al influir en el control glucémico y la resistencia a la insulina </w:t>
      </w:r>
      <w:r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{"citationID":"oLA19Qim","properties":{"formattedCitation":"(Lazarou et\\uc0\\u160{}al., 2012)","plainCitation":"(Lazarou et al., 2012)","noteIndex":0},"citationItems":[{"id":2862,"uris":["http://zotero.org/users/5489988/items/9SNJGYVF"],"uri":["http://zotero.org/users/5489988/items/9SNJGYVF"],"itemData":{"id":2862,"type":"article-journal","title":"The role of diet in prevention and management of type 2 diabetes: implications for public health","container-title":"Critical Reviews in Food Science and Nutrition","page":"382-389","volume":"52","issue":"5","source":"PubMed","abstract":"The aim of this review is to examine the current scientific knowledge on the relationship between diet and Type 2 diabetes and consider further implications for public health. The review focuses on the main nutritional elements which have been identified as significant in the prevention and management of Type 2 diabetes. Research findings on the role of carbohydrate, fiber, alcohol, and individual fatty acids are discussed, while the role of specific micro-nutrients and the influence of obesity are comprehensively presented. The association between dietary habits and Type 2 diabetes etiology and management is also reviewed, in order to examine the positive effects of adherence to a healthy dietary pattern, including the plausible role of the Mediterranean diet.","DOI":"10.1080/10408398.2010.500258","ISSN":"1549-7852","note":"PMID: 22369258","title-short":"The role of diet in prevention and management of type 2 diabetes","journalAbbreviation":"Crit Rev Food Sci Nutr","language":"eng","author":[{"family":"Lazarou","given":"Chrystalleni"},{"family":"Panagiotakos","given":"Demosthenes"},{"family":"Matalas","given":"Antonia-Leda"}],"issued":{"date-parts":[["2012"]]}}}],"schema":"https://github.com/citation-style-language/schema/raw/master/csl-citation.json"} </w:instrText>
      </w:r>
      <w:r w:rsidRPr="00D3581F">
        <w:rPr>
          <w:color w:val="000000"/>
          <w:sz w:val="20"/>
          <w:szCs w:val="20"/>
          <w:shd w:val="clear" w:color="auto" w:fill="FFFFFF"/>
        </w:rPr>
        <w:fldChar w:fldCharType="separate"/>
      </w:r>
      <w:r w:rsidR="00302A47" w:rsidRPr="00D3581F">
        <w:rPr>
          <w:sz w:val="20"/>
          <w:szCs w:val="20"/>
        </w:rPr>
        <w:t>(Lazarou et al., 2012)</w:t>
      </w:r>
      <w:r w:rsidRPr="00D3581F">
        <w:rPr>
          <w:color w:val="000000"/>
          <w:sz w:val="20"/>
          <w:szCs w:val="20"/>
          <w:shd w:val="clear" w:color="auto" w:fill="FFFFFF"/>
        </w:rPr>
        <w:fldChar w:fldCharType="end"/>
      </w:r>
      <w:r w:rsidRPr="00D3581F">
        <w:rPr>
          <w:color w:val="000000"/>
          <w:sz w:val="20"/>
          <w:szCs w:val="20"/>
          <w:shd w:val="clear" w:color="auto" w:fill="FFFFFF"/>
        </w:rPr>
        <w:t xml:space="preserve">. Los patrones dietéticos, en lugar de los nutrientes individuales, como las dietas prudentes / saludables, la dieta mediterránea, las dietas occidentales y las dietas tradicionales, han recibido recientemente una gran atención al evaluar la asociación entre la dieta y la salud. Debido a que los alimentos se consumen en combinación y los nutrientes se metabolizan conjuntamente, podría ser más difícil estimar las asociaciones entre alimentos o nutrientes individuales y la incidencia de enfermedades en comparación con el enfoque colectivo. </w:t>
      </w:r>
    </w:p>
    <w:p w14:paraId="374C286B" w14:textId="77777777" w:rsidR="000F2651" w:rsidRPr="00D3581F" w:rsidRDefault="00E00740" w:rsidP="00664C11">
      <w:pPr>
        <w:pStyle w:val="NormalWeb"/>
        <w:shd w:val="clear" w:color="auto" w:fill="FFFFFF"/>
        <w:spacing w:before="0" w:beforeAutospacing="0" w:after="240" w:afterAutospacing="0"/>
        <w:jc w:val="both"/>
        <w:rPr>
          <w:color w:val="000000"/>
          <w:sz w:val="20"/>
          <w:szCs w:val="20"/>
          <w:shd w:val="clear" w:color="auto" w:fill="FFFFFF"/>
        </w:rPr>
      </w:pPr>
      <w:r w:rsidRPr="00D3581F">
        <w:rPr>
          <w:color w:val="000000"/>
          <w:sz w:val="20"/>
          <w:szCs w:val="20"/>
          <w:shd w:val="clear" w:color="auto" w:fill="FFFFFF"/>
        </w:rPr>
        <w:lastRenderedPageBreak/>
        <w:t xml:space="preserve">Por lo tanto, cambios en los hábitos alimenticios, capaces de reducir el riesgo de DM2 </w:t>
      </w:r>
      <w:r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{"citationID":"uW2k8BS3","properties":{"formattedCitation":"(American Diabetes Association, 2018)","plainCitation":"(American Diabetes Association, 2018)","noteIndex":0},"citationItems":[{"id":2866,"uris":["http://zotero.org/users/5489988/items/V5RZEV8Z"],"uri":["http://zotero.org/users/5489988/items/V5RZEV8Z"],"itemData":{"id":2866,"type":"article-journal","title":"5. Prevention or Delay of Type 2 Diabetes: Standards of Medical Care in Diabetes-2018","container-title":"Diabetes Care","page":"S51-S54","volume":"41","issue":"Suppl 1","source":"PubMed","abstract":"The American Diabetes Association (ADA) \"Standards of Medical Care in Diabetes\" includes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Readers who wish to comment on the Standards of Care are invited to do so at professional.diabetes.org/SOC.","DOI":"10.2337/dc18-S005","ISSN":"1935-5548","note":"PMID: 29222376","title-short":"5. Prevention or Delay of Type 2 Diabetes","journalAbbreviation":"Diabetes Care","language":"eng","author":[{"literal":"American Diabetes Association"}],"issued":{"date-parts":[["2018"]]}}}],"schema":"https://github.com/citation-style-language/schema/raw/master/csl-citation.json"} </w:instrText>
      </w:r>
      <w:r w:rsidRPr="00D3581F">
        <w:rPr>
          <w:color w:val="000000"/>
          <w:sz w:val="20"/>
          <w:szCs w:val="20"/>
          <w:shd w:val="clear" w:color="auto" w:fill="FFFFFF"/>
        </w:rPr>
        <w:fldChar w:fldCharType="separate"/>
      </w:r>
      <w:r w:rsidR="00302A47" w:rsidRPr="00D3581F">
        <w:rPr>
          <w:sz w:val="20"/>
          <w:szCs w:val="20"/>
        </w:rPr>
        <w:t>(American Diabetes Association, 2018)</w:t>
      </w:r>
      <w:r w:rsidRPr="00D3581F">
        <w:rPr>
          <w:color w:val="000000"/>
          <w:sz w:val="20"/>
          <w:szCs w:val="20"/>
          <w:shd w:val="clear" w:color="auto" w:fill="FFFFFF"/>
        </w:rPr>
        <w:fldChar w:fldCharType="end"/>
      </w:r>
      <w:r w:rsidRPr="00D3581F">
        <w:rPr>
          <w:color w:val="000000"/>
          <w:sz w:val="20"/>
          <w:szCs w:val="20"/>
          <w:shd w:val="clear" w:color="auto" w:fill="FFFFFF"/>
        </w:rPr>
        <w:t xml:space="preserve"> independientemente de la restricción calórica, puede representar un recurso importante en el contexto de un enfoque preventivo práctico y adecuado a nivel de la población. En esta línea, una serie de estudios de observación han destacado los alimentos que están asociados con un riesgo reducido de </w:t>
      </w:r>
      <w:r w:rsidR="0056788D" w:rsidRPr="00D3581F">
        <w:rPr>
          <w:color w:val="000000"/>
          <w:sz w:val="20"/>
          <w:szCs w:val="20"/>
          <w:shd w:val="clear" w:color="auto" w:fill="FFFFFF"/>
        </w:rPr>
        <w:t>DM</w:t>
      </w:r>
      <w:r w:rsidR="000F2651" w:rsidRPr="00D3581F">
        <w:rPr>
          <w:color w:val="000000"/>
          <w:sz w:val="20"/>
          <w:szCs w:val="20"/>
          <w:shd w:val="clear" w:color="auto" w:fill="FFFFFF"/>
        </w:rPr>
        <w:t>2</w:t>
      </w:r>
      <w:r w:rsidRPr="00D3581F">
        <w:rPr>
          <w:color w:val="000000"/>
          <w:sz w:val="20"/>
          <w:szCs w:val="20"/>
          <w:shd w:val="clear" w:color="auto" w:fill="FFFFFF"/>
        </w:rPr>
        <w:t xml:space="preserve">: frutas, nueces, pescado, verduras, aceites vegetales no tropicales, cereales integrales, frijoles y yogurt </w:t>
      </w:r>
      <w:r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{"citationID":"O3X0ZLou","properties":{"formattedCitation":"(Mozaffarian, 2016)","plainCitation":"(Mozaffarian, 2016)","noteIndex":0},"citationItems":[{"id":2869,"uris":["http://zotero.org/users/5489988/items/2BSYQFZZ"],"uri":["http://zotero.org/users/5489988/items/2BSYQFZZ"],"itemData":{"id":2869,"type":"article-journal","title":"Dietary and Policy Priorities for Cardiovascular Disease, Diabetes, and Obesity: A Comprehensive Review","container-title":"Circulation","page":"187-225","volume":"133","issue":"2","source":"PubMed","abstract":"Suboptimal nutrition is a leading cause of poor health. Nutrition and policy science have advanced rapidly, creating confusion yet also providing powerful opportunities to reduce the adverse health and economic impacts of poor diets. This review considers the history, new evidence, controversies, and corresponding lessons for modern dietary and policy priorities for cardiovascular diseases, obesity, and diabetes mellitus. Major identified themes include the importance of evaluating the full diversity of diet-related risk pathways, not only blood lipids or obesity; focusing on foods and overall diet patterns, rather than single isolated nutrients; recognizing the complex influences of different foods on long-term weight regulation, rather than simply counting calories; and characterizing and implementing evidence-based strategies, including policy approaches, for lifestyle change. Evidence-informed dietary priorities include increased fruits, nonstarchy vegetables, nuts, legumes, fish, vegetable oils, yogurt, and minimally processed whole grains; and fewer red meats, processed (eg, sodium-preserved) meats, and foods rich in refined grains, starch, added sugars, salt, and trans fat. More investigation is needed on the cardiometabolic effects of phenolics, dairy fat, probiotics, fermentation, coffee, tea, cocoa, eggs, specific vegetable and tropical oils, vitamin D, individual fatty acids, and diet-microbiome interactions. Little evidence to date supports the cardiometabolic relevance of other popular priorities: eg, local, organic, grass-fed, farmed/wild, or non-genetically modified. Evidence-based personalized nutrition appears to depend more on nongenetic characteristics (eg, physical activity, abdominal adiposity, gender, socioeconomic status, culture) than genetic factors. Food choices must be strongly supported by clinical behavior change efforts, health systems reforms, novel technologies, and robust policy strategies targeting economic incentives, schools and workplaces, neighborhood environments, and the food system. Scientific advances provide crucial new insights on optimal targets and best practices to reduce the burdens of diet-related cardiometabolic diseases.","DOI":"10.1161/CIRCULATIONAHA.115.018585","ISSN":"1524-4539","note":"PMID: 26746178\nPMCID: PMC4814348","title-short":"Dietary and Policy Priorities for Cardiovascular Disease, Diabetes, and Obesity","journalAbbreviation":"Circulation","language":"eng","author":[{"family":"Mozaffarian","given":"Dariush"}],"issued":{"date-parts":[["2016",1,12]]}}}],"schema":"https://github.com/citation-style-language/schema/raw/master/csl-citation.json"} </w:instrText>
      </w:r>
      <w:r w:rsidRPr="00D3581F">
        <w:rPr>
          <w:color w:val="000000"/>
          <w:sz w:val="20"/>
          <w:szCs w:val="20"/>
          <w:shd w:val="clear" w:color="auto" w:fill="FFFFFF"/>
        </w:rPr>
        <w:fldChar w:fldCharType="separate"/>
      </w:r>
      <w:r w:rsidR="00302A47" w:rsidRPr="00D3581F">
        <w:rPr>
          <w:sz w:val="20"/>
          <w:szCs w:val="20"/>
        </w:rPr>
        <w:t>(Mozaffarian, 2016)</w:t>
      </w:r>
      <w:r w:rsidRPr="00D3581F">
        <w:rPr>
          <w:color w:val="000000"/>
          <w:sz w:val="20"/>
          <w:szCs w:val="20"/>
          <w:shd w:val="clear" w:color="auto" w:fill="FFFFFF"/>
        </w:rPr>
        <w:fldChar w:fldCharType="end"/>
      </w:r>
      <w:r w:rsidRPr="00D3581F">
        <w:rPr>
          <w:color w:val="000000"/>
          <w:sz w:val="20"/>
          <w:szCs w:val="20"/>
          <w:shd w:val="clear" w:color="auto" w:fill="FFFFFF"/>
        </w:rPr>
        <w:t>. </w:t>
      </w:r>
    </w:p>
    <w:p w14:paraId="7FB752BB" w14:textId="77777777" w:rsidR="00E00740" w:rsidRPr="00D3581F" w:rsidRDefault="00E00740" w:rsidP="00664C11">
      <w:pPr>
        <w:pStyle w:val="NormalWeb"/>
        <w:shd w:val="clear" w:color="auto" w:fill="FFFFFF"/>
        <w:spacing w:before="0" w:beforeAutospacing="0" w:after="240" w:afterAutospacing="0"/>
        <w:jc w:val="both"/>
        <w:rPr>
          <w:color w:val="000000"/>
          <w:sz w:val="20"/>
          <w:szCs w:val="20"/>
          <w:shd w:val="clear" w:color="auto" w:fill="FFFFFF"/>
        </w:rPr>
      </w:pPr>
      <w:r w:rsidRPr="00D3581F">
        <w:rPr>
          <w:color w:val="000000"/>
          <w:sz w:val="20"/>
          <w:szCs w:val="20"/>
          <w:shd w:val="clear" w:color="auto" w:fill="FFFFFF"/>
        </w:rPr>
        <w:t xml:space="preserve">Recientemente, un </w:t>
      </w:r>
      <w:proofErr w:type="spellStart"/>
      <w:r w:rsidRPr="00D3581F">
        <w:rPr>
          <w:color w:val="000000"/>
          <w:sz w:val="20"/>
          <w:szCs w:val="20"/>
          <w:shd w:val="clear" w:color="auto" w:fill="FFFFFF"/>
        </w:rPr>
        <w:t>metanálisis</w:t>
      </w:r>
      <w:proofErr w:type="spellEnd"/>
      <w:r w:rsidRPr="00D3581F">
        <w:rPr>
          <w:color w:val="000000"/>
          <w:sz w:val="20"/>
          <w:szCs w:val="20"/>
          <w:shd w:val="clear" w:color="auto" w:fill="FFFFFF"/>
        </w:rPr>
        <w:t xml:space="preserve"> integral ha indicado que, además de los alimentos asociados con un menor riesgo, también hay alimentos que están asociados con un mayor riesgo de DM2: carne roja, carne procesada, huevos y bebidas azucaradas </w:t>
      </w:r>
      <w:r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{"citationID":"Px0IMkEP","properties":{"formattedCitation":"(Schwingshackl et\\uc0\\u160{}al., 2017)","plainCitation":"(Schwingshackl et al., 2017)","noteIndex":0},"citationItems":[{"id":2831,"uris":["http://zotero.org/users/5489988/items/65I5UJVA"],"uri":["http://zotero.org/users/5489988/items/65I5UJVA"],"itemData":{"id":2831,"type":"article-journal","title":"Food groups and risk of type 2 diabetes mellitus: a systematic review and meta-analysis of prospective studies","container-title":"European Journal of Epidemiology","page":"363-375","volume":"32","issue":"5","source":"PubMed Central","abstract":"The aim of this systematic review and meta-analysis was to synthesize the knowledge about the relation between intake of 12 major food groups and risk of type 2 diabetes (T2D). We conducted a systematic search in PubMed, Embase, Medline (Ovid), Cochrane Central, and Google Scholar for prospective studies investigating the association between whole grains, refined grains, vegetables, fruits, nuts, legumes, eggs, dairy, fish, red meat, processed meat, and sugar-sweetened beverages (SSB) on risk of T2D. Summary relative risks were estimated using a random effects model by contrasting categories, and for linear and non-linear dose–response relationships. Six out of the 12 food-groups showed a significant relation with risk of T2D, three of them a decrease of risk with increasing consumption (whole grains, fruits, and dairy), and three an increase of risk with increasing consumption (red meat, processed meat, and SSB) in the linear dose–response meta-analysis. There was evidence of a non-linear relationship between fruits, vegetables, processed meat, whole grains, and SSB and T2D risk. Optimal consumption of risk-decreasing foods resulted in a 42% reduction, and consumption of risk-increasing foods was associated with a threefold T2D risk, compared to non-consumption. The meta-evidence was graded “low” for legumes and nuts; “moderate” for refined grains, vegetables, fruit, eggs, dairy, and fish; and “high” for processed meat, red meat, whole grains, and SSB. Among the investigated food groups, selecting specific optimal intakes can lead to a considerable change in risk of T2D.","DOI":"10.1007/s10654-017-0246-y","ISSN":"0393-2990","note":"PMID: 28397016\nPMCID: PMC5506108","title-short":"Food groups and risk of type 2 diabetes mellitus","journalAbbreviation":"Eur J Epidemiol","author":[{"family":"Schwingshackl","given":"Lukas"},{"family":"Hoffmann","given":"Georg"},{"family":"Lampousi","given":"Anna-Maria"},{"family":"Knüppel","given":"Sven"},{"family":"Iqbal","given":"Khalid"},{"family":"Schwedhelm","given":"Carolina"},{"family":"Bechthold","given":"Angela"},{"family":"Schlesinger","given":"Sabrina"},{"family":"Boeing","given":"Heiner"}],"issued":{"date-parts":[["2017"]]}}}],"schema":"https://github.com/citation-style-language/schema/raw/master/csl-citation.json"} </w:instrText>
      </w:r>
      <w:r w:rsidRPr="00D3581F">
        <w:rPr>
          <w:color w:val="000000"/>
          <w:sz w:val="20"/>
          <w:szCs w:val="20"/>
          <w:shd w:val="clear" w:color="auto" w:fill="FFFFFF"/>
        </w:rPr>
        <w:fldChar w:fldCharType="separate"/>
      </w:r>
      <w:r w:rsidR="00302A47" w:rsidRPr="00D3581F">
        <w:rPr>
          <w:sz w:val="20"/>
          <w:szCs w:val="20"/>
        </w:rPr>
        <w:t>(Schwingshackl et al., 2017)</w:t>
      </w:r>
      <w:r w:rsidRPr="00D3581F">
        <w:rPr>
          <w:color w:val="000000"/>
          <w:sz w:val="20"/>
          <w:szCs w:val="20"/>
          <w:shd w:val="clear" w:color="auto" w:fill="FFFFFF"/>
        </w:rPr>
        <w:fldChar w:fldCharType="end"/>
      </w:r>
      <w:r w:rsidRPr="00D3581F">
        <w:rPr>
          <w:color w:val="000000"/>
          <w:sz w:val="20"/>
          <w:szCs w:val="20"/>
          <w:shd w:val="clear" w:color="auto" w:fill="FFFFFF"/>
        </w:rPr>
        <w:t xml:space="preserve">. Un patrón dietético basado en la preferencia de los productos vegetales y el consumo moderado de alimentos de origen animal se asemeja a la dieta mediterránea tradicional que ha demostrado ser capaz de reducir la incidencia de </w:t>
      </w:r>
      <w:r w:rsidR="0056788D" w:rsidRPr="00D3581F">
        <w:rPr>
          <w:color w:val="000000"/>
          <w:sz w:val="20"/>
          <w:szCs w:val="20"/>
          <w:shd w:val="clear" w:color="auto" w:fill="FFFFFF"/>
        </w:rPr>
        <w:t>DM</w:t>
      </w:r>
      <w:r w:rsidR="000F2651" w:rsidRPr="00D3581F">
        <w:rPr>
          <w:color w:val="000000"/>
          <w:sz w:val="20"/>
          <w:szCs w:val="20"/>
          <w:shd w:val="clear" w:color="auto" w:fill="FFFFFF"/>
        </w:rPr>
        <w:t>2</w:t>
      </w:r>
      <w:r w:rsidRPr="00D3581F">
        <w:rPr>
          <w:color w:val="000000"/>
          <w:sz w:val="20"/>
          <w:szCs w:val="20"/>
          <w:shd w:val="clear" w:color="auto" w:fill="FFFFFF"/>
        </w:rPr>
        <w:t xml:space="preserve"> hasta en un 30%, a pesar de que el peso corporal no cambió </w:t>
      </w:r>
      <w:r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{"citationID":"FQD30Qen","properties":{"formattedCitation":"(Jordi Salas-Salvad\\uc0\\u243{} et\\uc0\\u160{}al., 2014)","plainCitation":"(Jordi Salas-Salvadó et al., 2014)","noteIndex":0},"citationItems":[{"id":2875,"uris":["http://zotero.org/users/5489988/items/TQB5N6HL"],"uri":["http://zotero.org/users/5489988/items/TQB5N6HL"],"itemData":{"id":2875,"type":"article-journal","title":"Prevention of diabetes with Mediterranean diets: a subgroup analysis of a randomized trial","container-title":"Annals of Internal Medicine","page":"1-10","volume":"160","issue":"1","source":"PubMed","abstract":"BACKGROUND: Interventions promoting weight loss can reduce the incidence of type 2 diabetes mellitus. Whether dietary changes without calorie restriction also protect from diabetes has not been evaluated.\nOBJECTIVE: To assess the efficacy of Mediterranean diets for the primary prevention of diabetes in the Prevención con Dieta Mediterránea trial, from October 2003 to December 2010 (median follow-up, 4.1 years).\nDESIGN: Subgroup analysis of a multicenter, randomized trial. (Current Controlled Trials: ISRCTN35739639) SETTING: Primary care centers in Spain.\nPARTICIPANTS: Men and women without diabetes (3541 patients aged 55 to 80 years) at high cardiovascular risk.\nINTERVENTION: Participants were randomly assigned and stratified by site, sex, and age but not diabetes status to receive 1 of 3 diets: Mediterranean diet supplemented with extra-virgin olive oil (EVOO), Mediterranean diet supplemented with nuts, or a control diet (advice on a low-fat diet). No intervention to increase physical activity or lose weight was included.\nMEASUREMENTS: Incidence of new-onset type 2 diabetes mellitus (prespecified secondary outcome).\nRESULTS: During follow-up, 80, 92, and 101 new-onset cases of diabetes occurred in the Mediterranean diet supplemented with EVOO, Mediterranean diet supplemented with mixed nuts, and control diet groups, respectively, corresponding to rates of 16.0, 18.7, and 23.6 cases per 1000 person-years. Multivariate-adjusted hazard ratios were 0.60 (95% CI, 0.43 to 0.85) for the Mediterranean diet supplemented with EVOO and 0.82 (CI, 0.61 to 1.10) for the Mediterranean diet supplemented with nuts compared with the control diet.\nLIMITATIONS: Randomization was not stratified by diabetes status. Withdrawals were greater in the control group.\nCONCLUSION: A Mediterranean diet enriched with EVOO but without energy restrictions reduced diabetes risk among persons with high cardiovascular risk.\nPRIMARY FUNDING SOURCE: Instituto de Salud Carlos III.","DOI":"10.7326/M13-1725","ISSN":"1539-3704","note":"PMID: 24573661","title-short":"Prevention of diabetes with Mediterranean diets","journalAbbreviation":"Ann. Intern. Med.","language":"eng","author":[{"family":"Salas-Salvadó","given":"Jordi"},{"family":"Bulló","given":"Mònica"},{"family":"Estruch","given":"Ramón"},{"family":"Ros","given":"Emilio"},{"family":"Covas","given":"Maria-Isabel"},{"family":"Ibarrola-Jurado","given":"Núria"},{"family":"Corella","given":"Dolores"},{"family":"Arós","given":"Fernando"},{"family":"Gómez-Gracia","given":"Enrique"},{"family":"Ruiz-Gutiérrez","given":"Valentina"},{"family":"Romaguera","given":"Dora"},{"family":"Lapetra","given":"José"},{"family":"Lamuela-Raventós","given":"Rosa Maria"},{"family":"Serra-Majem","given":"Lluís"},{"family":"Pintó","given":"Xavier"},{"family":"Basora","given":"Josep"},{"family":"Muñoz","given":"Miguel Angel"},{"family":"Sorlí","given":"José V."},{"family":"Martínez-González","given":"Miguel A."}],"issued":{"date-parts":[["2014",1,7]]}}}],"schema":"https://github.com/citation-style-language/schema/raw/master/csl-citation.json"} </w:instrText>
      </w:r>
      <w:r w:rsidRPr="00D3581F">
        <w:rPr>
          <w:color w:val="000000"/>
          <w:sz w:val="20"/>
          <w:szCs w:val="20"/>
          <w:shd w:val="clear" w:color="auto" w:fill="FFFFFF"/>
        </w:rPr>
        <w:fldChar w:fldCharType="separate"/>
      </w:r>
      <w:r w:rsidR="00302A47" w:rsidRPr="00D3581F">
        <w:rPr>
          <w:sz w:val="20"/>
          <w:szCs w:val="20"/>
        </w:rPr>
        <w:t>(Jordi Salas-Salvadó et al., 2014)</w:t>
      </w:r>
      <w:r w:rsidRPr="00D3581F">
        <w:rPr>
          <w:color w:val="000000"/>
          <w:sz w:val="20"/>
          <w:szCs w:val="20"/>
          <w:shd w:val="clear" w:color="auto" w:fill="FFFFFF"/>
        </w:rPr>
        <w:fldChar w:fldCharType="end"/>
      </w:r>
      <w:r w:rsidRPr="00D3581F">
        <w:rPr>
          <w:color w:val="000000"/>
          <w:sz w:val="20"/>
          <w:szCs w:val="20"/>
          <w:shd w:val="clear" w:color="auto" w:fill="FFFFFF"/>
        </w:rPr>
        <w:t>.</w:t>
      </w:r>
    </w:p>
    <w:p w14:paraId="36EDC32D" w14:textId="77777777" w:rsidR="00E00740" w:rsidRPr="00D3581F" w:rsidRDefault="00E00740" w:rsidP="00664C11">
      <w:pPr>
        <w:pStyle w:val="NormalWeb"/>
        <w:shd w:val="clear" w:color="auto" w:fill="FFFFFF"/>
        <w:spacing w:before="0" w:beforeAutospacing="0" w:after="240" w:afterAutospacing="0"/>
        <w:jc w:val="both"/>
        <w:rPr>
          <w:color w:val="000000"/>
          <w:sz w:val="20"/>
          <w:szCs w:val="20"/>
          <w:shd w:val="clear" w:color="auto" w:fill="FFFFFF"/>
        </w:rPr>
      </w:pPr>
      <w:r w:rsidRPr="00D3581F">
        <w:rPr>
          <w:color w:val="000000"/>
          <w:sz w:val="20"/>
          <w:szCs w:val="20"/>
          <w:shd w:val="clear" w:color="auto" w:fill="FFFFFF"/>
        </w:rPr>
        <w:t xml:space="preserve">El síndrome metabólico describe un grupo de anormalidades que están asociadas con un mayor riesgo de DM2. Haga a un lado los criterios de diagnóstico establecidos por el NCEP-ATPIII en 2003  </w:t>
      </w:r>
      <w:r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{"citationID":"ZoNafVZR","properties":{"formattedCitation":"(National Cholesterol Education Program (NCEP) Expert Panel on Detection, Evaluation, and Treatment of High Blood Cholesterol in Adults (Adult Treatment Panel III), 2002)","plainCitation":"(National Cholesterol Education Program (NCEP) Expert Panel on Detection, Evaluation, and Treatment of High Blood Cholesterol in Adults (Adult Treatment Panel III), 2002)","noteIndex":0},"citationItems":[{"id":2877,"uris":["http://zotero.org/users/5489988/items/23F7A8DV"],"uri":["http://zotero.org/users/5489988/items/23F7A8DV"],"itemData":{"id":2877,"type":"article-journal","title":"Third Report of the National Cholesterol Education Program (NCEP) Expert Panel on Detection, Evaluation, and Treatment of High Blood Cholesterol in Adults (Adult Treatment Panel III) final report","container-title":"Circulation","page":"3143-3421","volume":"106","issue":"25","source":"PubMed","ISSN":"1524-4539","note":"PMID: 12485966","journalAbbreviation":"Circulation","language":"eng","author":[{"literal":"National Cholesterol Education Program (NCEP) Expert Panel on Detection, Evaluation, and Treatment of High Blood Cholesterol in Adults (Adult Treatment Panel III)"}],"issued":{"date-parts":[["2002",12,17]]}}}],"schema":"https://github.com/citation-style-language/schema/raw/master/csl-citation.json"} </w:instrText>
      </w:r>
      <w:r w:rsidRPr="00D3581F">
        <w:rPr>
          <w:color w:val="000000"/>
          <w:sz w:val="20"/>
          <w:szCs w:val="20"/>
          <w:shd w:val="clear" w:color="auto" w:fill="FFFFFF"/>
        </w:rPr>
        <w:fldChar w:fldCharType="separate"/>
      </w:r>
      <w:r w:rsidR="00302A47" w:rsidRPr="00D3581F">
        <w:rPr>
          <w:sz w:val="20"/>
          <w:szCs w:val="20"/>
        </w:rPr>
        <w:t>(National Cholesterol Education Program (NCEP) Expert Panel on Detection, Evaluation, and Treatment of High Blood Cholesterol in Adults (Adult Treatment Panel III), 2002)</w:t>
      </w:r>
      <w:r w:rsidRPr="00D3581F">
        <w:rPr>
          <w:color w:val="000000"/>
          <w:sz w:val="20"/>
          <w:szCs w:val="20"/>
          <w:shd w:val="clear" w:color="auto" w:fill="FFFFFF"/>
        </w:rPr>
        <w:fldChar w:fldCharType="end"/>
      </w:r>
      <w:r w:rsidRPr="00D3581F">
        <w:rPr>
          <w:color w:val="000000"/>
          <w:sz w:val="20"/>
          <w:szCs w:val="20"/>
          <w:shd w:val="clear" w:color="auto" w:fill="FFFFFF"/>
        </w:rPr>
        <w:t xml:space="preserve">: circunferencia de la cintura, glucosa plasmática, triglicéridos plasmáticos, colesterol de lipoproteínas de alta densidad (HDL) y presión arterial, un componente central del síndrome metabólico está alterado sensibilidad a la insulina. En los últimos años, varios estudios de cohortes han demostrado una asociación entre la ingesta habitual de cereales integrales y un riesgo reducido del síndrome metabólico </w:t>
      </w:r>
      <w:r w:rsidRPr="00D3581F">
        <w:rPr>
          <w:color w:val="000000"/>
          <w:sz w:val="20"/>
          <w:szCs w:val="20"/>
          <w:shd w:val="clear" w:color="auto" w:fill="FFFFFF"/>
        </w:rPr>
        <w:fldChar w:fldCharType="begin"/>
      </w:r>
      <w:r w:rsidR="00302A47" w:rsidRPr="00D3581F">
        <w:rPr>
          <w:color w:val="000000"/>
          <w:sz w:val="20"/>
          <w:szCs w:val="20"/>
          <w:shd w:val="clear" w:color="auto" w:fill="FFFFFF"/>
        </w:rPr>
        <w:instrText xml:space="preserve"> ADDIN ZOTERO_ITEM CSL_CITATION {"citationID":"Es3MgdDs","properties":{"formattedCitation":"(Sahyoun et\\uc0\\u160{}al., 2006)","plainCitation":"(Sahyoun et al., 2006)","noteIndex":0},"citationItems":[{"id":2879,"uris":["http://zotero.org/users/5489988/items/H4DK2LJG"],"uri":["http://zotero.org/users/5489988/items/H4DK2LJG"],"itemData":{"id":2879,"type":"article-journal","title":"Whole-grain intake is inversely associated with the metabolic syndrome and mortality in older adults","container-title":"The American Journal of Clinical Nutrition","page":"124-131","volume":"83","issue":"1","source":"PubMed","abstract":"BACKGROUND: Whole-grain intake has been inversely associated with the metabolic syndrome in middle-aged populations, but the association has not been investigated in older adults. The metabolic consequence of consuming high whole-grain diets may differ in elderly persons, who are prone to greater insulin resistance and impaired glucose tolerance.\nOBJECTIVE: The aim of the present study was to examine the cross-sectional association between whole- and refined-grain intake, cardiovascular disease risk factors, prevalence of the metabolic syndrome, and the incidence of cardiovascular disease mortality in the same cohort of older adults.\nDESIGN: The nutritional status of 535 healthy persons aged 60-98 y was determined from 1981 to 1984. The subjects kept a 3-d food record and had their blood tested for metabolic risk factors. The metabolic syndrome was defined based on criteria set by the third report of the National Cholesterol Education Program. The vital status of the subjects was identified in October 1995.\nRESULTS: The results showed a significant inverse trend between whole-grain intake and the metabolic syndrome (P for trend = 0.005) and mortality from cardiovascular disease (P for trend = 0.04), independent of demographic, lifestyle, and dietary factors. Fasting glucose concentrations and body mass index decreased across increasing quartile categories of whole-grain intake (P for trend = 0.01 and 0.03, respectively), independent of confounders, whereas intake of refined grain was positively associated with higher fasting glucose concentrations (P for trend = 0.04) and a higher prevalence of the metabolic syndrome (P for trend = 0.01).\nCONCLUSION: Whole-grain intake is a modifiable dietary risk factor, and older and young adults should be encouraged to increase their daily intake to &gt; or = 3 servings/d.","DOI":"10.1093/ajcn/83.1.124","ISSN":"0002-9165","note":"PMID: 16400060","journalAbbreviation":"Am. J. Clin. Nutr.","language":"eng","author":[{"family":"Sahyoun","given":"Nadine R."},{"family":"Jacques","given":"Paul F."},{"family":"Zhang","given":"Xinli L."},{"family":"Juan","given":"Wenyen"},{"family":"McKeown","given":"Nicola M."}],"issued":{"date-parts":[["2006",1]]}}}],"schema":"https://github.com/citation-style-language/schema/raw/master/csl-citation.json"} </w:instrText>
      </w:r>
      <w:r w:rsidRPr="00D3581F">
        <w:rPr>
          <w:color w:val="000000"/>
          <w:sz w:val="20"/>
          <w:szCs w:val="20"/>
          <w:shd w:val="clear" w:color="auto" w:fill="FFFFFF"/>
        </w:rPr>
        <w:fldChar w:fldCharType="separate"/>
      </w:r>
      <w:r w:rsidR="00302A47" w:rsidRPr="00D3581F">
        <w:rPr>
          <w:sz w:val="20"/>
          <w:szCs w:val="20"/>
        </w:rPr>
        <w:t>(Sahyoun et al., 2006)</w:t>
      </w:r>
      <w:r w:rsidRPr="00D3581F">
        <w:rPr>
          <w:color w:val="000000"/>
          <w:sz w:val="20"/>
          <w:szCs w:val="20"/>
          <w:shd w:val="clear" w:color="auto" w:fill="FFFFFF"/>
        </w:rPr>
        <w:fldChar w:fldCharType="end"/>
      </w:r>
      <w:r w:rsidRPr="00D3581F">
        <w:rPr>
          <w:color w:val="000000"/>
          <w:sz w:val="20"/>
          <w:szCs w:val="20"/>
          <w:shd w:val="clear" w:color="auto" w:fill="FFFFFF"/>
        </w:rPr>
        <w:t>.</w:t>
      </w:r>
    </w:p>
    <w:p w14:paraId="5A6556E9" w14:textId="77777777" w:rsidR="00E00740" w:rsidRPr="00D3581F" w:rsidRDefault="00E00740" w:rsidP="00664C11">
      <w:pPr>
        <w:pStyle w:val="p"/>
        <w:shd w:val="clear" w:color="auto" w:fill="FFFFFF"/>
        <w:spacing w:before="0" w:beforeAutospacing="0" w:after="240" w:afterAutospacing="0"/>
        <w:jc w:val="both"/>
        <w:rPr>
          <w:color w:val="000000"/>
          <w:sz w:val="20"/>
          <w:szCs w:val="20"/>
        </w:rPr>
      </w:pPr>
      <w:r w:rsidRPr="00D3581F">
        <w:rPr>
          <w:color w:val="000000"/>
          <w:sz w:val="20"/>
          <w:szCs w:val="20"/>
        </w:rPr>
        <w:t xml:space="preserve">La relación óptima y normal de carbohidratos a lípidos en la dieta es un desafío importante considerando su papel para prevenir enfermedades crónicas como la diabetes tipo 2 </w:t>
      </w:r>
      <w:r w:rsidRPr="00D3581F">
        <w:rPr>
          <w:color w:val="000000"/>
          <w:sz w:val="20"/>
          <w:szCs w:val="20"/>
        </w:rPr>
        <w:fldChar w:fldCharType="begin"/>
      </w:r>
      <w:r w:rsidR="00302A47" w:rsidRPr="00D3581F">
        <w:rPr>
          <w:color w:val="000000"/>
          <w:sz w:val="20"/>
          <w:szCs w:val="20"/>
        </w:rPr>
        <w:instrText xml:space="preserve"> ADDIN ZOTERO_ITEM CSL_CITATION {"citationID":"rfC8H5rg","properties":{"formattedCitation":"(American Diabetes Association, 2019)","plainCitation":"(American Diabetes Association, 2019)","noteIndex":0},"citationItems":[{"id":2401,"uris":["http://zotero.org/users/5489988/items/M38BKPIR"],"uri":["http://zotero.org/users/5489988/items/M38BKPIR"],"itemData":{"id":2401,"type":"article-journal","title":"13. Children and Adolescents: Standards of Medical Care in Diabetes-2019","container-title":"Diabetes Care","page":"S148-S164","volume":"42","issue":"Suppl 1","source":"PubMed","abstract":"The American Diabetes Association (ADA) \"Standards of Medical Care in Diabetes\" includes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Readers who wish to comment on the Standards of Care are invited to do so at professional.diabetes.org/SOC.","DOI":"10.2337/dc19-S013","ISSN":"1935-5548","note":"PMID: 30559239","title-short":"13. Children and Adolescents","journalAbbreviation":"Diabetes Care","language":"eng","author":[{"literal":"American Diabetes Association"}],"issued":{"date-parts":[["2019",1]]}}}],"schema":"https://github.com/citation-style-language/schema/raw/master/csl-citation.json"} </w:instrText>
      </w:r>
      <w:r w:rsidRPr="00D3581F">
        <w:rPr>
          <w:color w:val="000000"/>
          <w:sz w:val="20"/>
          <w:szCs w:val="20"/>
        </w:rPr>
        <w:fldChar w:fldCharType="separate"/>
      </w:r>
      <w:r w:rsidR="00302A47" w:rsidRPr="00D3581F">
        <w:rPr>
          <w:sz w:val="20"/>
          <w:szCs w:val="20"/>
        </w:rPr>
        <w:t>(American Diabetes Association, 2019)</w:t>
      </w:r>
      <w:r w:rsidRPr="00D3581F">
        <w:rPr>
          <w:color w:val="000000"/>
          <w:sz w:val="20"/>
          <w:szCs w:val="20"/>
        </w:rPr>
        <w:fldChar w:fldCharType="end"/>
      </w:r>
      <w:r w:rsidRPr="00D3581F">
        <w:rPr>
          <w:color w:val="000000"/>
          <w:sz w:val="20"/>
          <w:szCs w:val="20"/>
        </w:rPr>
        <w:t xml:space="preserve">. En un estudio realizado por Richard et al. Se observó que una menor ingesta de grasas en la dieta y una mayor ingesta de carbohidratos previenen la incidencia de enfermedades crónicas </w:t>
      </w:r>
      <w:r w:rsidRPr="00D3581F">
        <w:rPr>
          <w:color w:val="000000"/>
          <w:sz w:val="20"/>
          <w:szCs w:val="20"/>
        </w:rPr>
        <w:fldChar w:fldCharType="begin"/>
      </w:r>
      <w:r w:rsidR="00302A47" w:rsidRPr="00D3581F">
        <w:rPr>
          <w:color w:val="000000"/>
          <w:sz w:val="20"/>
          <w:szCs w:val="20"/>
        </w:rPr>
        <w:instrText xml:space="preserve"> ADDIN ZOTERO_ITEM CSL_CITATION {"citationID":"oH1dfqh8","properties":{"formattedCitation":"(Richards et\\uc0\\u160{}al., 2001)","plainCitation":"(Richards et al., 2001)","noteIndex":0},"citationItems":[{"id":2883,"uris":["http://zotero.org/users/5489988/items/AELWGSPF"],"uri":["http://zotero.org/users/5489988/items/AELWGSPF"],"itemData":{"id":2883,"type":"chapter","title":"Current Theories Regarding the Influence of Diet and the Control of Obesity","container-title":"Nutritional Health","publisher":"Humana Press","publisher-place":"Totowa, NJ","page":"135-150","source":"DOI.org (Crossref)","event-place":"Totowa, NJ","URL":"http://link.springer.com/10.1007/978-1-59259-226-5_10","ISBN":"978-1-4757-6054-5","note":"DOI: 10.1007/978-1-59259-226-5_10","language":"en","editor":[{"family":"Wilson","given":"Ted"},{"family":"Temple","given":"Norman J."}],"author":[{"family":"Richards","given":"Marie K."},{"family":"Paeratakul","given":"Sahasporn"},{"family":"Bray","given":"George A."},{"family":"Popkin","given":"Barry M."}],"issued":{"date-parts":[["2001"]]},"accessed":{"date-parts":[["2020",2,8]]}}}],"schema":"https://github.com/citation-style-language/schema/raw/master/csl-citation.json"} </w:instrText>
      </w:r>
      <w:r w:rsidRPr="00D3581F">
        <w:rPr>
          <w:color w:val="000000"/>
          <w:sz w:val="20"/>
          <w:szCs w:val="20"/>
        </w:rPr>
        <w:fldChar w:fldCharType="separate"/>
      </w:r>
      <w:r w:rsidR="00302A47" w:rsidRPr="00D3581F">
        <w:rPr>
          <w:sz w:val="20"/>
          <w:szCs w:val="20"/>
        </w:rPr>
        <w:t>(Richards et al., 2001)</w:t>
      </w:r>
      <w:r w:rsidRPr="00D3581F">
        <w:rPr>
          <w:color w:val="000000"/>
          <w:sz w:val="20"/>
          <w:szCs w:val="20"/>
        </w:rPr>
        <w:fldChar w:fldCharType="end"/>
      </w:r>
      <w:r w:rsidRPr="00D3581F">
        <w:rPr>
          <w:color w:val="000000"/>
          <w:sz w:val="20"/>
          <w:szCs w:val="20"/>
        </w:rPr>
        <w:t>. </w:t>
      </w:r>
    </w:p>
    <w:p w14:paraId="7CC40002" w14:textId="77777777" w:rsidR="00E00740" w:rsidRPr="00D3581F" w:rsidRDefault="00E00740" w:rsidP="00664C11">
      <w:pPr>
        <w:pStyle w:val="p"/>
        <w:shd w:val="clear" w:color="auto" w:fill="FFFFFF"/>
        <w:spacing w:before="0" w:beforeAutospacing="0" w:after="240" w:afterAutospacing="0"/>
        <w:jc w:val="both"/>
        <w:rPr>
          <w:color w:val="000000"/>
          <w:sz w:val="20"/>
          <w:szCs w:val="20"/>
        </w:rPr>
      </w:pPr>
      <w:r w:rsidRPr="00D3581F">
        <w:rPr>
          <w:color w:val="000000"/>
          <w:sz w:val="20"/>
          <w:szCs w:val="20"/>
        </w:rPr>
        <w:t xml:space="preserve">Estos datos sugieren que el aumento de la ingesta de carbohidratos aumenta la secreción de insulina para mantener la homeostasis de la insulina, y una ingesta alta de carbohidratos, que conduce a la secreción de </w:t>
      </w:r>
      <w:r w:rsidRPr="00D3581F">
        <w:rPr>
          <w:color w:val="000000"/>
          <w:sz w:val="20"/>
          <w:szCs w:val="20"/>
        </w:rPr>
        <w:t xml:space="preserve">insulina, se asocia con la recepción de energía que causa niveles más altos de insulina después de una comida. La secreción de insulina con alto rendimiento puede estar asociada con una disminución de la secreción de insulina relacionada con la edad, lo que resulta en un desarrollo más rápido de diabetes </w:t>
      </w:r>
      <w:r w:rsidRPr="00D3581F">
        <w:rPr>
          <w:color w:val="000000"/>
          <w:sz w:val="20"/>
          <w:szCs w:val="20"/>
        </w:rPr>
        <w:fldChar w:fldCharType="begin"/>
      </w:r>
      <w:r w:rsidR="00302A47" w:rsidRPr="00D3581F">
        <w:rPr>
          <w:color w:val="000000"/>
          <w:sz w:val="20"/>
          <w:szCs w:val="20"/>
        </w:rPr>
        <w:instrText xml:space="preserve"> ADDIN ZOTERO_ITEM CSL_CITATION {"citationID":"4OE7q0jt","properties":{"formattedCitation":"(J. Salas-Salvad\\uc0\\u243{} et\\uc0\\u160{}al., 2011)","plainCitation":"(J. Salas-Salvadó et al., 2011)","noteIndex":0},"citationItems":[{"id":2887,"uris":["http://zotero.org/users/5489988/items/Z5ZN9LQM"],"uri":["http://zotero.org/users/5489988/items/Z5ZN9LQM"],"itemData":{"id":2887,"type":"article-journal","title":"The role of diet in the prevention of type 2 diabetes","container-title":"Nutrition, metabolism, and cardiovascular diseases: NMCD","page":"B32-48","volume":"21 Suppl 2","source":"PubMed","abstract":"Type 2 diabetes mellitus is an important preventable disease and a growing public health problem. Epidemiologic and interventional studies suggest that weight loss is the main driving force to reduce diabetes risk. Landmark clinical trials of lifestyle changes in subjects with prediabetes have shown that diet and exercise leading to weight loss consistently reduce the incidence of diabetes. However, from these studies it cannot be established whether dietary changes alone play a significant role in preventing diabetes. Here we review epidemiologic and clinical trial evidence relating nutrients, foods and dietary patterns to diabetes risk and the possible mechanisms involved. The differential effects of carbohydrate and fat quantity and quality, and those of specific foods and whole diets are discussed. Importantly, most dietary components influencing diabetes risk have similar effects on biomarkers of cardiovascular risk and inflammation. The conclusion is that there is no universal dietary strategy to prevent diabetes or delay its onset. Together with the maintenance of ideal body weight, the promotion of the so-called prudent diet (characterized by a higher intake of food groups that are generally recommended for health promotion, particularly plant-based foods, and a lower intake of red meat, meat products, sweets, high-fat dairy and refined grains) or a Mediterranean dietary pattern rich in olive oil, fruits and vegetables, including whole grains, pulses and nuts, low-fat dairy, and moderate alcohol consumption (mainly red wine) appears as the best strategy to decrease diabetes risk, especially if dietary recommendations take into account individual preferences, thus enabling long-time adherence.","DOI":"10.1016/j.numecd.2011.03.009","ISSN":"1590-3729","note":"PMID: 21745730","journalAbbreviation":"Nutr Metab Cardiovasc Dis","language":"eng","author":[{"family":"Salas-Salvadó","given":"J."},{"family":"Martinez-González","given":"M. Á"},{"family":"Bulló","given":"M."},{"family":"Ros","given":"E."}],"issued":{"date-parts":[["2011",9]]}}}],"schema":"https://github.com/citation-style-language/schema/raw/master/csl-citation.json"} </w:instrText>
      </w:r>
      <w:r w:rsidRPr="00D3581F">
        <w:rPr>
          <w:color w:val="000000"/>
          <w:sz w:val="20"/>
          <w:szCs w:val="20"/>
        </w:rPr>
        <w:fldChar w:fldCharType="separate"/>
      </w:r>
      <w:r w:rsidR="00302A47" w:rsidRPr="00D3581F">
        <w:rPr>
          <w:sz w:val="20"/>
          <w:szCs w:val="20"/>
        </w:rPr>
        <w:t>(J. Salas-Salvadó et al., 2011)</w:t>
      </w:r>
      <w:r w:rsidRPr="00D3581F">
        <w:rPr>
          <w:color w:val="000000"/>
          <w:sz w:val="20"/>
          <w:szCs w:val="20"/>
        </w:rPr>
        <w:fldChar w:fldCharType="end"/>
      </w:r>
      <w:r w:rsidRPr="00D3581F">
        <w:rPr>
          <w:color w:val="000000"/>
          <w:sz w:val="20"/>
          <w:szCs w:val="20"/>
        </w:rPr>
        <w:t>.</w:t>
      </w:r>
    </w:p>
    <w:p w14:paraId="064144FE" w14:textId="6E6DDC19" w:rsidR="00E00740" w:rsidRPr="00D3581F" w:rsidRDefault="00E00740" w:rsidP="00664C11">
      <w:pPr>
        <w:pStyle w:val="p"/>
        <w:shd w:val="clear" w:color="auto" w:fill="FFFFFF"/>
        <w:spacing w:before="0" w:beforeAutospacing="0" w:after="240" w:afterAutospacing="0"/>
        <w:jc w:val="both"/>
        <w:rPr>
          <w:color w:val="000000"/>
          <w:sz w:val="20"/>
          <w:szCs w:val="20"/>
        </w:rPr>
      </w:pPr>
      <w:r w:rsidRPr="00D3581F">
        <w:rPr>
          <w:color w:val="000000"/>
          <w:sz w:val="20"/>
          <w:szCs w:val="20"/>
        </w:rPr>
        <w:t xml:space="preserve">Se informó que la fibra dietética, particularmente la fibra soluble, mejora la respuesta glucémica </w:t>
      </w:r>
      <w:r w:rsidR="00022742" w:rsidRPr="00D3581F">
        <w:rPr>
          <w:color w:val="000000"/>
          <w:sz w:val="20"/>
          <w:szCs w:val="20"/>
        </w:rPr>
        <w:t>postprandial</w:t>
      </w:r>
      <w:r w:rsidRPr="00D3581F">
        <w:rPr>
          <w:color w:val="000000"/>
          <w:sz w:val="20"/>
          <w:szCs w:val="20"/>
        </w:rPr>
        <w:t xml:space="preserve"> y la concentración de insulina al disminuir la digestión y absorción de los alimentos y crear una sustancia similar al gel en el estómago por varias hormonas metabólicas </w:t>
      </w:r>
      <w:r w:rsidRPr="00D3581F">
        <w:rPr>
          <w:color w:val="000000"/>
          <w:sz w:val="20"/>
          <w:szCs w:val="20"/>
        </w:rPr>
        <w:fldChar w:fldCharType="begin"/>
      </w:r>
      <w:r w:rsidR="00302A47" w:rsidRPr="00D3581F">
        <w:rPr>
          <w:color w:val="000000"/>
          <w:sz w:val="20"/>
          <w:szCs w:val="20"/>
        </w:rPr>
        <w:instrText xml:space="preserve"> ADDIN ZOTERO_ITEM CSL_CITATION {"citationID":"1KLAc78Z","properties":{"formattedCitation":"(Ley et\\uc0\\u160{}al., 2014)","plainCitation":"(Ley et al., 2014)","noteIndex":0},"citationItems":[{"id":2889,"uris":["http://zotero.org/users/5489988/items/J7X5L6CA"],"uri":["http://zotero.org/users/5489988/items/J7X5L6CA"],"itemData":{"id":2889,"type":"article-journal","title":"Prevention and management of type 2 diabetes: dietary components and nutritional strategies","container-title":"Lancet (London, England)","page":"1999-2007","volume":"383","issue":"9933","source":"PubMed","abstract":"In the past couple of decades, evidence from prospective observational studies and clinical trials has converged to support the importance of individual nutrients, foods, and dietary patterns in the prevention and management of type 2 diabetes. The quality of dietary fats and carbohydrates consumed is more crucial than is the quantity of these macronutrients. Diets rich in wholegrains, fruits, vegetables, legumes, and nuts; moderate in alcohol consumption; and lower in refined grains, red or processed meats, and sugar-sweetened beverages have been shown to reduce the risk of diabetes and improve glycaemic control and blood lipids in patients with diabetes. With an emphasis on overall diet quality, several dietary patterns such as Mediterranean, low glycaemic index, moderately low carbohydrate, and vegetarian diets can be tailored to personal and cultural food preferences and appropriate calorie needs for weight control and diabetes prevention and management. Although much progress has been made in development and implementation of evidence-based nutrition recommendations in developed countries, concerted worldwide efforts and policies are warranted to alleviate regional disparities.","DOI":"10.1016/S0140-6736(14)60613-9","ISSN":"1474-547X","note":"PMID: 24910231\nPMCID: PMC4751088","title-short":"Prevention and management of type 2 diabetes","journalAbbreviation":"Lancet","language":"eng","author":[{"family":"Ley","given":"Sylvia H."},{"family":"Hamdy","given":"Osama"},{"family":"Mohan","given":"Viswanathan"},{"family":"Hu","given":"Frank B."}],"issued":{"date-parts":[["2014",6,7]]}}}],"schema":"https://github.com/citation-style-language/schema/raw/master/csl-citation.json"} </w:instrText>
      </w:r>
      <w:r w:rsidRPr="00D3581F">
        <w:rPr>
          <w:color w:val="000000"/>
          <w:sz w:val="20"/>
          <w:szCs w:val="20"/>
        </w:rPr>
        <w:fldChar w:fldCharType="separate"/>
      </w:r>
      <w:r w:rsidR="00302A47" w:rsidRPr="00D3581F">
        <w:rPr>
          <w:sz w:val="20"/>
          <w:szCs w:val="20"/>
        </w:rPr>
        <w:t>(Ley et al., 2014)</w:t>
      </w:r>
      <w:r w:rsidRPr="00D3581F">
        <w:rPr>
          <w:color w:val="000000"/>
          <w:sz w:val="20"/>
          <w:szCs w:val="20"/>
        </w:rPr>
        <w:fldChar w:fldCharType="end"/>
      </w:r>
      <w:r w:rsidRPr="00D3581F">
        <w:rPr>
          <w:color w:val="000000"/>
          <w:sz w:val="20"/>
          <w:szCs w:val="20"/>
        </w:rPr>
        <w:t>. Varios estudios han demostrado que se mejora el control glucémico y el colesterol LDL disminuye con dietas relativamente altas en carbohidratos y bajas en grasas, incluidos los alimentos ricos en fibra naturales en comparación con las dietas relativamente bajas en carbohidratos y altas en grasas</w:t>
      </w:r>
      <w:r w:rsidR="000F2651" w:rsidRPr="00D3581F">
        <w:rPr>
          <w:color w:val="000000"/>
          <w:sz w:val="20"/>
          <w:szCs w:val="20"/>
        </w:rPr>
        <w:t xml:space="preserve"> </w:t>
      </w:r>
      <w:r w:rsidR="000F2651" w:rsidRPr="00D3581F">
        <w:rPr>
          <w:color w:val="000000"/>
          <w:sz w:val="20"/>
          <w:szCs w:val="20"/>
        </w:rPr>
        <w:fldChar w:fldCharType="begin"/>
      </w:r>
      <w:r w:rsidR="00302A47" w:rsidRPr="00D3581F">
        <w:rPr>
          <w:color w:val="000000"/>
          <w:sz w:val="20"/>
          <w:szCs w:val="20"/>
        </w:rPr>
        <w:instrText xml:space="preserve"> ADDIN ZOTERO_ITEM CSL_CITATION {"citationID":"spEkjHfG","properties":{"formattedCitation":"(Song &amp; Shim, 2019)","plainCitation":"(Song &amp; Shim, 2019)","noteIndex":0},"citationItems":[{"id":2892,"uris":["http://zotero.org/users/5489988/items/6S9XU5X3"],"uri":["http://zotero.org/users/5489988/items/6S9XU5X3"],"itemData":{"id":2892,"type":"article-journal","title":"Trends in Dietary Intake of Total Fat and Fatty Acids Among Korean Adolescents from 2007 to 2017","container-title":"Nutrients","volume":"11","issue":"12","source":"PubMed","abstract":"We analyzed the trends in dietary intake of total fat and fatty acids among Korean adolescents during 2007-2017. A total of 6406 adolescents from the 2007-2017 Korea National Health and Examination Surveys were selected. Total fat and fatty acids intakes were calculated based on single 24-hour recall data and presented as grams (g) and percentage of energy intake (% kcal) across the survey period. Linear trends in intake across the survey period were compared using the multiple regression model. Total fat intake increased during the 11-year period from 54.3 g (21.7% kcal) to 61.8 g (25.2% kcal). Saturated fatty acids (SFA) and monounsaturated fatty acids (MUFA) intakes changed from 17.8 g (7.1% kcal) and 17.2 g (6.8% kcal) to 20.6 g (8.4% kcal) and 20.7 g (8.4% kcal) over time, respectively. For polyunsaturated fatty acids (PUFA), n-3 fatty acid intake did not change during the survey period. The proportions of individuals who had total fat and SFA above the recommendations increased across the survey period: 13.7% to 27.5% for total fat and 36.0% to 49.7% for SFA. Among Korean adolescents, dietary fat intake increased over time and the increases in SFA and MUFA intake were prominent. Monitoring dietary fat intake is helpful to suggest dietary guidelines and health policies.","DOI":"10.3390/nu11123073","ISSN":"2072-6643","note":"PMID: 31888278\nPMCID: PMC6950604","journalAbbreviation":"Nutrients","language":"eng","author":[{"family":"Song","given":"SuJin"},{"family":"Shim","given":"Jae Eun"}],"issued":{"date-parts":[["2019",12,16]]}}}],"schema":"https://github.com/citation-style-language/schema/raw/master/csl-citation.json"} </w:instrText>
      </w:r>
      <w:r w:rsidR="000F2651" w:rsidRPr="00D3581F">
        <w:rPr>
          <w:color w:val="000000"/>
          <w:sz w:val="20"/>
          <w:szCs w:val="20"/>
        </w:rPr>
        <w:fldChar w:fldCharType="separate"/>
      </w:r>
      <w:r w:rsidR="00302A47" w:rsidRPr="00D3581F">
        <w:rPr>
          <w:sz w:val="20"/>
          <w:szCs w:val="20"/>
        </w:rPr>
        <w:t>(Song &amp; Shim, 2019)</w:t>
      </w:r>
      <w:r w:rsidR="000F2651" w:rsidRPr="00D3581F">
        <w:rPr>
          <w:color w:val="000000"/>
          <w:sz w:val="20"/>
          <w:szCs w:val="20"/>
        </w:rPr>
        <w:fldChar w:fldCharType="end"/>
      </w:r>
      <w:r w:rsidRPr="00D3581F">
        <w:rPr>
          <w:color w:val="000000"/>
          <w:sz w:val="20"/>
          <w:szCs w:val="20"/>
        </w:rPr>
        <w:t>. La OMS / FAO recomienda obtener al menos el 55% de la ingesta energética de carbohidratos en personas normales. </w:t>
      </w:r>
      <w:r w:rsidR="00614981" w:rsidRPr="00D3581F">
        <w:rPr>
          <w:color w:val="000000"/>
          <w:sz w:val="20"/>
          <w:szCs w:val="20"/>
        </w:rPr>
        <w:t>N</w:t>
      </w:r>
      <w:r w:rsidRPr="00D3581F">
        <w:rPr>
          <w:color w:val="000000"/>
          <w:sz w:val="20"/>
          <w:szCs w:val="20"/>
        </w:rPr>
        <w:t>o hay pautas específicas de carbohidratos para prevenir la diabetes. Por lo tanto, recibir una amplia gama de carbohidratos puede reducir el riesgo de diabetes tipo 2, dependiendo del tipo y la fuente de carbohidratos recibidos</w:t>
      </w:r>
      <w:r w:rsidR="000F2651" w:rsidRPr="00D3581F">
        <w:rPr>
          <w:color w:val="000000"/>
          <w:sz w:val="20"/>
          <w:szCs w:val="20"/>
        </w:rPr>
        <w:t xml:space="preserve"> en compar</w:t>
      </w:r>
      <w:r w:rsidR="002907A6" w:rsidRPr="00D3581F">
        <w:rPr>
          <w:color w:val="000000"/>
          <w:sz w:val="20"/>
          <w:szCs w:val="20"/>
        </w:rPr>
        <w:t>ación con su cantidad, de ahí el objetivo de la investigación planteado, el cual fue identificar la cultura alimentaria de la población urbana del cantón Jipijapa de la provincia de Manabí y como está repercutiendo en el aumento creciente de la incidencia de casos nuevos de diabetes tipo 2.</w:t>
      </w:r>
    </w:p>
    <w:p w14:paraId="110065EB" w14:textId="77777777" w:rsidR="00D4218F" w:rsidRPr="00D3581F" w:rsidRDefault="00D4218F" w:rsidP="00664C11">
      <w:pPr>
        <w:pStyle w:val="p"/>
        <w:shd w:val="clear" w:color="auto" w:fill="FFFFFF"/>
        <w:spacing w:before="0" w:beforeAutospacing="0" w:after="240" w:afterAutospacing="0"/>
        <w:jc w:val="both"/>
        <w:rPr>
          <w:b/>
          <w:color w:val="000000"/>
          <w:sz w:val="20"/>
          <w:szCs w:val="20"/>
        </w:rPr>
      </w:pPr>
      <w:r w:rsidRPr="00D3581F">
        <w:rPr>
          <w:b/>
          <w:color w:val="000000"/>
          <w:sz w:val="20"/>
          <w:szCs w:val="20"/>
        </w:rPr>
        <w:t>Materiales y métodos</w:t>
      </w:r>
    </w:p>
    <w:p w14:paraId="5752B133" w14:textId="1E8DFAF1" w:rsidR="00E37639" w:rsidRPr="00D3581F" w:rsidRDefault="00E37639" w:rsidP="00664C11">
      <w:pPr>
        <w:pStyle w:val="p"/>
        <w:shd w:val="clear" w:color="auto" w:fill="FFFFFF"/>
        <w:spacing w:before="0" w:beforeAutospacing="0" w:after="240" w:afterAutospacing="0"/>
        <w:jc w:val="both"/>
        <w:rPr>
          <w:color w:val="000000"/>
          <w:sz w:val="20"/>
          <w:szCs w:val="20"/>
        </w:rPr>
      </w:pPr>
      <w:r w:rsidRPr="00D3581F">
        <w:rPr>
          <w:color w:val="000000"/>
          <w:sz w:val="20"/>
          <w:szCs w:val="20"/>
        </w:rPr>
        <w:t xml:space="preserve">La investigación es de tipo descriptivo, es un estudio longitudinal. El proyecto es financiado por la Universidad Estatal del Sur de Manabí. Los métodos teóricos que se trabajaron fueron el análisis-síntesis, histórico-lógico e inductivo-deductivo, como métodos empíricos se trabajó con las fichas de enfermería, control del índice de masa corporal (IMC), y el control de glicemia en sangre. Se trabajó con una muestra de 91 pacientes identificados como personas en riesgo de padecer diabetes a futuro, en edades </w:t>
      </w:r>
      <w:r w:rsidR="009974A4" w:rsidRPr="00D3581F">
        <w:rPr>
          <w:color w:val="000000"/>
          <w:sz w:val="20"/>
          <w:szCs w:val="20"/>
        </w:rPr>
        <w:t>comprendidas entre los 35 y</w:t>
      </w:r>
      <w:r w:rsidRPr="00D3581F">
        <w:rPr>
          <w:color w:val="000000"/>
          <w:sz w:val="20"/>
          <w:szCs w:val="20"/>
        </w:rPr>
        <w:t xml:space="preserve"> 60 años.</w:t>
      </w:r>
      <w:r w:rsidR="002907A6" w:rsidRPr="00D3581F">
        <w:rPr>
          <w:color w:val="000000"/>
          <w:sz w:val="20"/>
          <w:szCs w:val="20"/>
        </w:rPr>
        <w:t xml:space="preserve"> Todos los pacientes sujetos de estudio firmaron el consentimiento informado. La tención de los pacientes se la realizó en sus domicilios. Se preparó tres brigadas de atención asignando una parroquia para cada brigada. </w:t>
      </w:r>
      <w:r w:rsidR="009974A4" w:rsidRPr="00D3581F">
        <w:rPr>
          <w:color w:val="000000"/>
          <w:sz w:val="20"/>
          <w:szCs w:val="20"/>
        </w:rPr>
        <w:t>Los aspectos éticos manejados en la investigación fueron la confidencialidad de los resultados, el anonimato de los informantes y el manejo técnico confiable de la información.</w:t>
      </w:r>
    </w:p>
    <w:p w14:paraId="1A64E0A6" w14:textId="77777777" w:rsidR="00022742" w:rsidRPr="00D3581F" w:rsidRDefault="00D4218F" w:rsidP="00664C11">
      <w:pPr>
        <w:pStyle w:val="p"/>
        <w:shd w:val="clear" w:color="auto" w:fill="FFFFFF"/>
        <w:spacing w:before="0" w:beforeAutospacing="0" w:after="240" w:afterAutospacing="0"/>
        <w:jc w:val="both"/>
        <w:rPr>
          <w:b/>
          <w:color w:val="000000"/>
          <w:sz w:val="20"/>
          <w:szCs w:val="20"/>
        </w:rPr>
      </w:pPr>
      <w:r w:rsidRPr="00D3581F">
        <w:rPr>
          <w:b/>
          <w:color w:val="000000"/>
          <w:sz w:val="20"/>
          <w:szCs w:val="20"/>
        </w:rPr>
        <w:lastRenderedPageBreak/>
        <w:t>Resultados</w:t>
      </w:r>
    </w:p>
    <w:p w14:paraId="4E2314B9" w14:textId="7D2DFF00" w:rsidR="009974A4" w:rsidRDefault="00FE52EF" w:rsidP="00664C11">
      <w:pPr>
        <w:pStyle w:val="p"/>
        <w:shd w:val="clear" w:color="auto" w:fill="FFFFFF"/>
        <w:spacing w:before="0" w:beforeAutospacing="0" w:after="240" w:afterAutospacing="0"/>
        <w:jc w:val="both"/>
        <w:rPr>
          <w:color w:val="000000"/>
          <w:sz w:val="20"/>
          <w:szCs w:val="20"/>
        </w:rPr>
      </w:pPr>
      <w:r w:rsidRPr="00D3581F">
        <w:rPr>
          <w:color w:val="000000"/>
          <w:sz w:val="20"/>
          <w:szCs w:val="20"/>
        </w:rPr>
        <w:t>En los procesos de atención a los pacientes en riesgo de padecer diabetes se pudo auscultar mucha información relacionada con los antecedentes y estilos de vida que tenían, en el caso particular de esta investigación, se considerarán únicamente aquellos datos relacionados con los hábitos alimenticios, generadores de una cultura alimentaria típica de esta región de Ecuador y fundamentar como la generación de la cultura alimentaria está incidiendo en que la población se ubique en zona de riesgo de padecer diabetes tipo 2.</w:t>
      </w:r>
    </w:p>
    <w:tbl>
      <w:tblPr>
        <w:tblStyle w:val="Tablaconcuadrcula"/>
        <w:tblW w:w="0" w:type="auto"/>
        <w:jc w:val="center"/>
        <w:tblLook w:val="04A0" w:firstRow="1" w:lastRow="0" w:firstColumn="1" w:lastColumn="0" w:noHBand="0" w:noVBand="1"/>
      </w:tblPr>
      <w:tblGrid>
        <w:gridCol w:w="1786"/>
        <w:gridCol w:w="964"/>
        <w:gridCol w:w="1517"/>
      </w:tblGrid>
      <w:tr w:rsidR="005F51EE" w:rsidRPr="00D3581F" w14:paraId="3ECC4C09" w14:textId="77777777" w:rsidTr="00CC183B">
        <w:trPr>
          <w:trHeight w:val="291"/>
          <w:jc w:val="center"/>
        </w:trPr>
        <w:tc>
          <w:tcPr>
            <w:tcW w:w="1786" w:type="dxa"/>
          </w:tcPr>
          <w:p w14:paraId="7DC1CE6C" w14:textId="46761492"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Alternativas</w:t>
            </w:r>
          </w:p>
        </w:tc>
        <w:tc>
          <w:tcPr>
            <w:tcW w:w="964" w:type="dxa"/>
          </w:tcPr>
          <w:p w14:paraId="0F19025E" w14:textId="3B000FE3"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f</w:t>
            </w:r>
          </w:p>
        </w:tc>
        <w:tc>
          <w:tcPr>
            <w:tcW w:w="1517" w:type="dxa"/>
          </w:tcPr>
          <w:p w14:paraId="4D7C90D0" w14:textId="0C6E520E"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w:t>
            </w:r>
          </w:p>
        </w:tc>
      </w:tr>
      <w:tr w:rsidR="005F51EE" w:rsidRPr="00D3581F" w14:paraId="1AE68878" w14:textId="77777777" w:rsidTr="00CC183B">
        <w:trPr>
          <w:trHeight w:val="291"/>
          <w:jc w:val="center"/>
        </w:trPr>
        <w:tc>
          <w:tcPr>
            <w:tcW w:w="1786" w:type="dxa"/>
          </w:tcPr>
          <w:p w14:paraId="67594FA9" w14:textId="7F4EADB6"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Diariamente</w:t>
            </w:r>
          </w:p>
        </w:tc>
        <w:tc>
          <w:tcPr>
            <w:tcW w:w="964" w:type="dxa"/>
          </w:tcPr>
          <w:p w14:paraId="6851FE0E" w14:textId="086B1C07"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57</w:t>
            </w:r>
          </w:p>
        </w:tc>
        <w:tc>
          <w:tcPr>
            <w:tcW w:w="1517" w:type="dxa"/>
          </w:tcPr>
          <w:p w14:paraId="2C8C3C00" w14:textId="101EE43B"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62,64 %</w:t>
            </w:r>
          </w:p>
        </w:tc>
      </w:tr>
      <w:tr w:rsidR="005F51EE" w:rsidRPr="00D3581F" w14:paraId="26885730" w14:textId="77777777" w:rsidTr="00CC183B">
        <w:trPr>
          <w:trHeight w:val="291"/>
          <w:jc w:val="center"/>
        </w:trPr>
        <w:tc>
          <w:tcPr>
            <w:tcW w:w="1786" w:type="dxa"/>
          </w:tcPr>
          <w:p w14:paraId="0B716B95" w14:textId="0C265AF1"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 xml:space="preserve">No diariamente </w:t>
            </w:r>
          </w:p>
        </w:tc>
        <w:tc>
          <w:tcPr>
            <w:tcW w:w="964" w:type="dxa"/>
          </w:tcPr>
          <w:p w14:paraId="1938EDBA" w14:textId="367B892C"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34</w:t>
            </w:r>
          </w:p>
        </w:tc>
        <w:tc>
          <w:tcPr>
            <w:tcW w:w="1517" w:type="dxa"/>
          </w:tcPr>
          <w:p w14:paraId="3804ADB2" w14:textId="3C4A2A9C"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37,36 %</w:t>
            </w:r>
          </w:p>
        </w:tc>
      </w:tr>
      <w:tr w:rsidR="005F51EE" w:rsidRPr="00D3581F" w14:paraId="764CD7AC" w14:textId="77777777" w:rsidTr="00CC183B">
        <w:trPr>
          <w:trHeight w:val="291"/>
          <w:jc w:val="center"/>
        </w:trPr>
        <w:tc>
          <w:tcPr>
            <w:tcW w:w="1786" w:type="dxa"/>
          </w:tcPr>
          <w:p w14:paraId="5CF9CC0E" w14:textId="04518369"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Total</w:t>
            </w:r>
          </w:p>
        </w:tc>
        <w:tc>
          <w:tcPr>
            <w:tcW w:w="964" w:type="dxa"/>
          </w:tcPr>
          <w:p w14:paraId="761618D0" w14:textId="462AF35D"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91</w:t>
            </w:r>
          </w:p>
        </w:tc>
        <w:tc>
          <w:tcPr>
            <w:tcW w:w="1517" w:type="dxa"/>
          </w:tcPr>
          <w:p w14:paraId="48C2DAB3" w14:textId="78C714AB"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100%</w:t>
            </w:r>
          </w:p>
        </w:tc>
      </w:tr>
    </w:tbl>
    <w:p w14:paraId="6C67097A" w14:textId="77777777" w:rsidR="00BD41BD" w:rsidRPr="00D3581F" w:rsidRDefault="00BD41BD" w:rsidP="00664C11">
      <w:pPr>
        <w:spacing w:after="0" w:line="240" w:lineRule="auto"/>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Tabla 1. Frecuencia del consumo de frutas, verduras o pan (centeno o integral)</w:t>
      </w:r>
    </w:p>
    <w:p w14:paraId="258C3200" w14:textId="77777777" w:rsidR="00D4218F" w:rsidRPr="00D3581F" w:rsidRDefault="00E37639" w:rsidP="00664C11">
      <w:pPr>
        <w:spacing w:after="240" w:line="240" w:lineRule="auto"/>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Fuente: Pacientes en riesgo de padecer diabetes en el cantón Jipijapa. Manabí. Ecuador</w:t>
      </w:r>
    </w:p>
    <w:p w14:paraId="0E66EFC3" w14:textId="77777777" w:rsidR="00D4218F" w:rsidRPr="00D3581F" w:rsidRDefault="00D4218F" w:rsidP="00664C11">
      <w:pPr>
        <w:spacing w:after="240" w:line="240" w:lineRule="auto"/>
        <w:jc w:val="both"/>
        <w:rPr>
          <w:rFonts w:ascii="Times New Roman" w:hAnsi="Times New Roman" w:cs="Times New Roman"/>
          <w:sz w:val="20"/>
          <w:szCs w:val="20"/>
          <w:lang w:val="es-EC"/>
        </w:rPr>
      </w:pPr>
      <w:r w:rsidRPr="00D3581F">
        <w:rPr>
          <w:rFonts w:ascii="Times New Roman" w:hAnsi="Times New Roman" w:cs="Times New Roman"/>
          <w:sz w:val="20"/>
          <w:szCs w:val="20"/>
          <w:lang w:val="es-EC"/>
        </w:rPr>
        <w:t>En cuanto al patrón alimenticio del consumo de frutas y verduras se puede determinar que la mayoría de los pacientes en estudio lo consumen diariamente en un 62,64% y los que no lo co</w:t>
      </w:r>
      <w:r w:rsidR="00F53D86" w:rsidRPr="00D3581F">
        <w:rPr>
          <w:rFonts w:ascii="Times New Roman" w:hAnsi="Times New Roman" w:cs="Times New Roman"/>
          <w:sz w:val="20"/>
          <w:szCs w:val="20"/>
          <w:lang w:val="es-EC"/>
        </w:rPr>
        <w:t>nsumen diariamente en un 37,36%, Tabla 1.</w:t>
      </w:r>
      <w:r w:rsidRPr="00D3581F">
        <w:rPr>
          <w:rFonts w:ascii="Times New Roman" w:hAnsi="Times New Roman" w:cs="Times New Roman"/>
          <w:sz w:val="20"/>
          <w:szCs w:val="20"/>
          <w:lang w:val="es-EC"/>
        </w:rPr>
        <w:t xml:space="preserve"> </w:t>
      </w:r>
    </w:p>
    <w:p w14:paraId="1E08C370" w14:textId="2E44A886" w:rsidR="00022742" w:rsidRPr="00D3581F" w:rsidRDefault="00D4218F" w:rsidP="00664C11">
      <w:pPr>
        <w:spacing w:after="240" w:line="240" w:lineRule="auto"/>
        <w:jc w:val="both"/>
        <w:rPr>
          <w:rFonts w:ascii="Times New Roman" w:hAnsi="Times New Roman" w:cs="Times New Roman"/>
          <w:sz w:val="20"/>
          <w:szCs w:val="20"/>
          <w:lang w:val="es-EC"/>
        </w:rPr>
      </w:pPr>
      <w:r w:rsidRPr="00D3581F">
        <w:rPr>
          <w:rFonts w:ascii="Times New Roman" w:hAnsi="Times New Roman" w:cs="Times New Roman"/>
          <w:sz w:val="20"/>
          <w:szCs w:val="20"/>
          <w:lang w:val="es-EC"/>
        </w:rPr>
        <w:t>Los resultados son satisfactorios</w:t>
      </w:r>
      <w:r w:rsidR="00F53D86" w:rsidRPr="00D3581F">
        <w:rPr>
          <w:rFonts w:ascii="Times New Roman" w:hAnsi="Times New Roman" w:cs="Times New Roman"/>
          <w:sz w:val="20"/>
          <w:szCs w:val="20"/>
          <w:lang w:val="es-EC"/>
        </w:rPr>
        <w:t>,</w:t>
      </w:r>
      <w:r w:rsidRPr="00D3581F">
        <w:rPr>
          <w:rFonts w:ascii="Times New Roman" w:hAnsi="Times New Roman" w:cs="Times New Roman"/>
          <w:sz w:val="20"/>
          <w:szCs w:val="20"/>
          <w:lang w:val="es-EC"/>
        </w:rPr>
        <w:t xml:space="preserve"> según estudios realizados se observa que a p</w:t>
      </w:r>
      <w:r w:rsidR="00FE52EF" w:rsidRPr="00D3581F">
        <w:rPr>
          <w:rFonts w:ascii="Times New Roman" w:hAnsi="Times New Roman" w:cs="Times New Roman"/>
          <w:sz w:val="20"/>
          <w:szCs w:val="20"/>
          <w:lang w:val="es-EC"/>
        </w:rPr>
        <w:t>esar de la gastronomía de l</w:t>
      </w:r>
      <w:r w:rsidRPr="00D3581F">
        <w:rPr>
          <w:rFonts w:ascii="Times New Roman" w:hAnsi="Times New Roman" w:cs="Times New Roman"/>
          <w:sz w:val="20"/>
          <w:szCs w:val="20"/>
          <w:lang w:val="es-EC"/>
        </w:rPr>
        <w:t>a provincia</w:t>
      </w:r>
      <w:r w:rsidR="00FE52EF" w:rsidRPr="00D3581F">
        <w:rPr>
          <w:rFonts w:ascii="Times New Roman" w:hAnsi="Times New Roman" w:cs="Times New Roman"/>
          <w:sz w:val="20"/>
          <w:szCs w:val="20"/>
          <w:lang w:val="es-EC"/>
        </w:rPr>
        <w:t xml:space="preserve"> de</w:t>
      </w:r>
      <w:r w:rsidRPr="00D3581F">
        <w:rPr>
          <w:rFonts w:ascii="Times New Roman" w:hAnsi="Times New Roman" w:cs="Times New Roman"/>
          <w:sz w:val="20"/>
          <w:szCs w:val="20"/>
          <w:lang w:val="es-EC"/>
        </w:rPr>
        <w:t xml:space="preserve"> Manabí las personas que se encuentran en riesgo de padecer diabetes se concientizan y se alimentan de manera espontánea con alimentos saludables, mejorando su calidad de vida.</w:t>
      </w:r>
    </w:p>
    <w:tbl>
      <w:tblPr>
        <w:tblStyle w:val="Tablaconcuadrcula"/>
        <w:tblW w:w="0" w:type="auto"/>
        <w:jc w:val="center"/>
        <w:tblLook w:val="04A0" w:firstRow="1" w:lastRow="0" w:firstColumn="1" w:lastColumn="0" w:noHBand="0" w:noVBand="1"/>
      </w:tblPr>
      <w:tblGrid>
        <w:gridCol w:w="1793"/>
        <w:gridCol w:w="967"/>
        <w:gridCol w:w="1521"/>
      </w:tblGrid>
      <w:tr w:rsidR="005F51EE" w:rsidRPr="00D3581F" w14:paraId="2E6FD3B3" w14:textId="77777777" w:rsidTr="00CC183B">
        <w:trPr>
          <w:trHeight w:val="262"/>
          <w:jc w:val="center"/>
        </w:trPr>
        <w:tc>
          <w:tcPr>
            <w:tcW w:w="1793" w:type="dxa"/>
          </w:tcPr>
          <w:p w14:paraId="3C8085E5" w14:textId="77777777"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Alternativas</w:t>
            </w:r>
          </w:p>
        </w:tc>
        <w:tc>
          <w:tcPr>
            <w:tcW w:w="967" w:type="dxa"/>
          </w:tcPr>
          <w:p w14:paraId="299D7211" w14:textId="77777777"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f</w:t>
            </w:r>
          </w:p>
        </w:tc>
        <w:tc>
          <w:tcPr>
            <w:tcW w:w="1521" w:type="dxa"/>
          </w:tcPr>
          <w:p w14:paraId="182DC1C8" w14:textId="77777777"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w:t>
            </w:r>
          </w:p>
        </w:tc>
      </w:tr>
      <w:tr w:rsidR="005F51EE" w:rsidRPr="00D3581F" w14:paraId="0F5AD07D" w14:textId="77777777" w:rsidTr="00CC183B">
        <w:trPr>
          <w:trHeight w:val="262"/>
          <w:jc w:val="center"/>
        </w:trPr>
        <w:tc>
          <w:tcPr>
            <w:tcW w:w="1793" w:type="dxa"/>
          </w:tcPr>
          <w:p w14:paraId="13193CCB" w14:textId="1AE04860"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No</w:t>
            </w:r>
          </w:p>
        </w:tc>
        <w:tc>
          <w:tcPr>
            <w:tcW w:w="967" w:type="dxa"/>
          </w:tcPr>
          <w:p w14:paraId="4A3DE527" w14:textId="645B477D"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41</w:t>
            </w:r>
          </w:p>
        </w:tc>
        <w:tc>
          <w:tcPr>
            <w:tcW w:w="1521" w:type="dxa"/>
          </w:tcPr>
          <w:p w14:paraId="438CE5DB" w14:textId="51DC79B8"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45,05 %</w:t>
            </w:r>
          </w:p>
        </w:tc>
      </w:tr>
      <w:tr w:rsidR="005F51EE" w:rsidRPr="00D3581F" w14:paraId="6A09844C" w14:textId="77777777" w:rsidTr="00CC183B">
        <w:trPr>
          <w:trHeight w:val="262"/>
          <w:jc w:val="center"/>
        </w:trPr>
        <w:tc>
          <w:tcPr>
            <w:tcW w:w="1793" w:type="dxa"/>
          </w:tcPr>
          <w:p w14:paraId="29FCFB4A" w14:textId="4A0976DC"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 xml:space="preserve">Si </w:t>
            </w:r>
          </w:p>
        </w:tc>
        <w:tc>
          <w:tcPr>
            <w:tcW w:w="967" w:type="dxa"/>
          </w:tcPr>
          <w:p w14:paraId="69412258" w14:textId="701B751A"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50</w:t>
            </w:r>
          </w:p>
        </w:tc>
        <w:tc>
          <w:tcPr>
            <w:tcW w:w="1521" w:type="dxa"/>
          </w:tcPr>
          <w:p w14:paraId="02CF695B" w14:textId="083F5FBE"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54,95 %</w:t>
            </w:r>
          </w:p>
        </w:tc>
      </w:tr>
      <w:tr w:rsidR="005F51EE" w:rsidRPr="00D3581F" w14:paraId="5659B327" w14:textId="77777777" w:rsidTr="00CC183B">
        <w:trPr>
          <w:trHeight w:val="262"/>
          <w:jc w:val="center"/>
        </w:trPr>
        <w:tc>
          <w:tcPr>
            <w:tcW w:w="1793" w:type="dxa"/>
          </w:tcPr>
          <w:p w14:paraId="0A255951" w14:textId="144EF356"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Total</w:t>
            </w:r>
          </w:p>
        </w:tc>
        <w:tc>
          <w:tcPr>
            <w:tcW w:w="967" w:type="dxa"/>
          </w:tcPr>
          <w:p w14:paraId="55E02CA6" w14:textId="02AD7326"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91</w:t>
            </w:r>
          </w:p>
        </w:tc>
        <w:tc>
          <w:tcPr>
            <w:tcW w:w="1521" w:type="dxa"/>
          </w:tcPr>
          <w:p w14:paraId="141DCD4D" w14:textId="20F7568A"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100%</w:t>
            </w:r>
          </w:p>
        </w:tc>
      </w:tr>
    </w:tbl>
    <w:p w14:paraId="67C154E2" w14:textId="77777777" w:rsidR="00FE52EF" w:rsidRPr="00D3581F" w:rsidRDefault="00FE52EF" w:rsidP="00664C11">
      <w:pPr>
        <w:spacing w:after="0" w:line="240" w:lineRule="auto"/>
        <w:jc w:val="center"/>
        <w:rPr>
          <w:rFonts w:ascii="Times New Roman" w:hAnsi="Times New Roman" w:cs="Times New Roman"/>
          <w:sz w:val="20"/>
          <w:szCs w:val="20"/>
          <w:lang w:val="es-ES"/>
        </w:rPr>
      </w:pPr>
      <w:r w:rsidRPr="00D3581F">
        <w:rPr>
          <w:rFonts w:ascii="Times New Roman" w:hAnsi="Times New Roman" w:cs="Times New Roman"/>
          <w:sz w:val="20"/>
          <w:szCs w:val="20"/>
          <w:lang w:val="es-ES"/>
        </w:rPr>
        <w:t>Tabla 2. Realización de actividad física por lo menos 30 minutos diarios</w:t>
      </w:r>
    </w:p>
    <w:p w14:paraId="1CC32BB7" w14:textId="0C6B4A86" w:rsidR="00BD41BD" w:rsidRPr="00D3581F" w:rsidRDefault="009E5B8E" w:rsidP="00664C11">
      <w:pPr>
        <w:spacing w:after="240" w:line="240" w:lineRule="auto"/>
        <w:jc w:val="center"/>
        <w:rPr>
          <w:sz w:val="20"/>
          <w:szCs w:val="20"/>
        </w:rPr>
      </w:pPr>
      <w:r w:rsidRPr="00D3581F">
        <w:rPr>
          <w:rFonts w:ascii="Times New Roman" w:hAnsi="Times New Roman" w:cs="Times New Roman"/>
          <w:sz w:val="20"/>
          <w:szCs w:val="20"/>
          <w:lang w:val="es-EC"/>
        </w:rPr>
        <w:t>Fuente: Pacientes en riesgo de padecer diabetes en el cantón Jipijapa. Manabí. Ecuador</w:t>
      </w:r>
    </w:p>
    <w:p w14:paraId="75D0E1BC" w14:textId="41BAA31A" w:rsidR="00D4218F" w:rsidRPr="00D3581F" w:rsidRDefault="00781687" w:rsidP="00664C11">
      <w:pPr>
        <w:spacing w:after="240" w:line="240" w:lineRule="auto"/>
        <w:jc w:val="both"/>
        <w:rPr>
          <w:rFonts w:ascii="Times New Roman" w:hAnsi="Times New Roman" w:cs="Times New Roman"/>
          <w:sz w:val="20"/>
          <w:szCs w:val="20"/>
          <w:lang w:val="es-EC"/>
        </w:rPr>
      </w:pPr>
      <w:r w:rsidRPr="00D3581F">
        <w:rPr>
          <w:rFonts w:ascii="Times New Roman" w:hAnsi="Times New Roman" w:cs="Times New Roman"/>
          <w:sz w:val="20"/>
          <w:szCs w:val="20"/>
          <w:lang w:val="es-EC"/>
        </w:rPr>
        <w:t>Las actividades físicas propician</w:t>
      </w:r>
      <w:r w:rsidR="00D4218F" w:rsidRPr="00D3581F">
        <w:rPr>
          <w:rFonts w:ascii="Times New Roman" w:hAnsi="Times New Roman" w:cs="Times New Roman"/>
          <w:sz w:val="20"/>
          <w:szCs w:val="20"/>
          <w:lang w:val="es-EC"/>
        </w:rPr>
        <w:t xml:space="preserve"> una mejor calidad</w:t>
      </w:r>
      <w:r w:rsidRPr="00D3581F">
        <w:rPr>
          <w:rFonts w:ascii="Times New Roman" w:hAnsi="Times New Roman" w:cs="Times New Roman"/>
          <w:sz w:val="20"/>
          <w:szCs w:val="20"/>
          <w:lang w:val="es-EC"/>
        </w:rPr>
        <w:t xml:space="preserve"> y estilo</w:t>
      </w:r>
      <w:r w:rsidR="00D4218F" w:rsidRPr="00D3581F">
        <w:rPr>
          <w:rFonts w:ascii="Times New Roman" w:hAnsi="Times New Roman" w:cs="Times New Roman"/>
          <w:sz w:val="20"/>
          <w:szCs w:val="20"/>
          <w:lang w:val="es-EC"/>
        </w:rPr>
        <w:t xml:space="preserve"> de vida</w:t>
      </w:r>
      <w:r w:rsidRPr="00D3581F">
        <w:rPr>
          <w:rFonts w:ascii="Times New Roman" w:hAnsi="Times New Roman" w:cs="Times New Roman"/>
          <w:sz w:val="20"/>
          <w:szCs w:val="20"/>
          <w:lang w:val="es-EC"/>
        </w:rPr>
        <w:t>,</w:t>
      </w:r>
      <w:r w:rsidR="00D4218F" w:rsidRPr="00D3581F">
        <w:rPr>
          <w:rFonts w:ascii="Times New Roman" w:hAnsi="Times New Roman" w:cs="Times New Roman"/>
          <w:sz w:val="20"/>
          <w:szCs w:val="20"/>
          <w:lang w:val="es-EC"/>
        </w:rPr>
        <w:t xml:space="preserve"> </w:t>
      </w:r>
      <w:r w:rsidRPr="00D3581F">
        <w:rPr>
          <w:rFonts w:ascii="Times New Roman" w:hAnsi="Times New Roman" w:cs="Times New Roman"/>
          <w:sz w:val="20"/>
          <w:szCs w:val="20"/>
          <w:lang w:val="es-EC"/>
        </w:rPr>
        <w:t>garantizando el</w:t>
      </w:r>
      <w:r w:rsidR="00D4218F" w:rsidRPr="00D3581F">
        <w:rPr>
          <w:rFonts w:ascii="Times New Roman" w:hAnsi="Times New Roman" w:cs="Times New Roman"/>
          <w:sz w:val="20"/>
          <w:szCs w:val="20"/>
          <w:lang w:val="es-EC"/>
        </w:rPr>
        <w:t xml:space="preserve"> aumento en la </w:t>
      </w:r>
      <w:r w:rsidRPr="00D3581F">
        <w:rPr>
          <w:rFonts w:ascii="Times New Roman" w:hAnsi="Times New Roman" w:cs="Times New Roman"/>
          <w:sz w:val="20"/>
          <w:szCs w:val="20"/>
          <w:lang w:val="es-EC"/>
        </w:rPr>
        <w:t xml:space="preserve">cantidad y </w:t>
      </w:r>
      <w:r w:rsidR="005833E7" w:rsidRPr="00D3581F">
        <w:rPr>
          <w:rFonts w:ascii="Times New Roman" w:hAnsi="Times New Roman" w:cs="Times New Roman"/>
          <w:sz w:val="20"/>
          <w:szCs w:val="20"/>
          <w:lang w:val="es-EC"/>
        </w:rPr>
        <w:t xml:space="preserve"> </w:t>
      </w:r>
      <w:r w:rsidR="00D4218F" w:rsidRPr="00D3581F">
        <w:rPr>
          <w:rFonts w:ascii="Times New Roman" w:hAnsi="Times New Roman" w:cs="Times New Roman"/>
          <w:sz w:val="20"/>
          <w:szCs w:val="20"/>
          <w:lang w:val="es-EC"/>
        </w:rPr>
        <w:t>calidad de la misma, disminuyendo los factores de riesgo de padecer diabetes, hay que evaluar las características de las personas para aplicar planes estratégicos que permitan la actividad física de todas las personas en estudio</w:t>
      </w:r>
      <w:r w:rsidR="005833E7" w:rsidRPr="00D3581F">
        <w:rPr>
          <w:rFonts w:ascii="Times New Roman" w:hAnsi="Times New Roman" w:cs="Times New Roman"/>
          <w:sz w:val="20"/>
          <w:szCs w:val="20"/>
          <w:lang w:val="es-EC"/>
        </w:rPr>
        <w:t>,</w:t>
      </w:r>
      <w:r w:rsidR="00D4218F" w:rsidRPr="00D3581F">
        <w:rPr>
          <w:rFonts w:ascii="Times New Roman" w:hAnsi="Times New Roman" w:cs="Times New Roman"/>
          <w:sz w:val="20"/>
          <w:szCs w:val="20"/>
          <w:lang w:val="es-EC"/>
        </w:rPr>
        <w:t xml:space="preserve"> con el fin de aumentar la calidad de vida </w:t>
      </w:r>
    </w:p>
    <w:tbl>
      <w:tblPr>
        <w:tblStyle w:val="Tablaconcuadrcula"/>
        <w:tblW w:w="4455" w:type="dxa"/>
        <w:jc w:val="center"/>
        <w:tblLook w:val="04A0" w:firstRow="1" w:lastRow="0" w:firstColumn="1" w:lastColumn="0" w:noHBand="0" w:noVBand="1"/>
      </w:tblPr>
      <w:tblGrid>
        <w:gridCol w:w="1477"/>
        <w:gridCol w:w="662"/>
        <w:gridCol w:w="992"/>
        <w:gridCol w:w="1324"/>
      </w:tblGrid>
      <w:tr w:rsidR="005F51EE" w:rsidRPr="00D3581F" w14:paraId="640B5FEB" w14:textId="77777777" w:rsidTr="001906B6">
        <w:trPr>
          <w:trHeight w:val="509"/>
          <w:jc w:val="center"/>
        </w:trPr>
        <w:tc>
          <w:tcPr>
            <w:tcW w:w="1477" w:type="dxa"/>
            <w:vAlign w:val="center"/>
          </w:tcPr>
          <w:p w14:paraId="6BEFCC9A" w14:textId="763FF37B"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Alternativas</w:t>
            </w:r>
          </w:p>
        </w:tc>
        <w:tc>
          <w:tcPr>
            <w:tcW w:w="662" w:type="dxa"/>
            <w:vAlign w:val="center"/>
          </w:tcPr>
          <w:p w14:paraId="69893012" w14:textId="0E6CAF72"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f</w:t>
            </w:r>
          </w:p>
        </w:tc>
        <w:tc>
          <w:tcPr>
            <w:tcW w:w="992" w:type="dxa"/>
            <w:vAlign w:val="center"/>
          </w:tcPr>
          <w:p w14:paraId="4F0613C1" w14:textId="7A936255"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w:t>
            </w:r>
          </w:p>
        </w:tc>
        <w:tc>
          <w:tcPr>
            <w:tcW w:w="1324" w:type="dxa"/>
            <w:vAlign w:val="center"/>
          </w:tcPr>
          <w:p w14:paraId="3730BE90" w14:textId="03304062"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Riesgo</w:t>
            </w:r>
          </w:p>
        </w:tc>
      </w:tr>
      <w:tr w:rsidR="005F51EE" w:rsidRPr="00D3581F" w14:paraId="5D95112B" w14:textId="77777777" w:rsidTr="001906B6">
        <w:trPr>
          <w:trHeight w:val="509"/>
          <w:jc w:val="center"/>
        </w:trPr>
        <w:tc>
          <w:tcPr>
            <w:tcW w:w="1477" w:type="dxa"/>
            <w:vAlign w:val="center"/>
          </w:tcPr>
          <w:p w14:paraId="62F0501C" w14:textId="6D22997C"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Menos de 94cm</w:t>
            </w:r>
          </w:p>
        </w:tc>
        <w:tc>
          <w:tcPr>
            <w:tcW w:w="662" w:type="dxa"/>
            <w:vAlign w:val="center"/>
          </w:tcPr>
          <w:p w14:paraId="383E3A22" w14:textId="6367187E"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15</w:t>
            </w:r>
          </w:p>
        </w:tc>
        <w:tc>
          <w:tcPr>
            <w:tcW w:w="992" w:type="dxa"/>
            <w:vAlign w:val="center"/>
          </w:tcPr>
          <w:p w14:paraId="4648FCC6" w14:textId="419230F7"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48,39 %</w:t>
            </w:r>
          </w:p>
        </w:tc>
        <w:tc>
          <w:tcPr>
            <w:tcW w:w="1324" w:type="dxa"/>
            <w:vAlign w:val="center"/>
          </w:tcPr>
          <w:p w14:paraId="79160A46" w14:textId="3E0B4934"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Normal</w:t>
            </w:r>
          </w:p>
        </w:tc>
      </w:tr>
      <w:tr w:rsidR="005F51EE" w:rsidRPr="00D3581F" w14:paraId="3A319A9F" w14:textId="77777777" w:rsidTr="001906B6">
        <w:trPr>
          <w:trHeight w:val="509"/>
          <w:jc w:val="center"/>
        </w:trPr>
        <w:tc>
          <w:tcPr>
            <w:tcW w:w="1477" w:type="dxa"/>
            <w:vAlign w:val="center"/>
          </w:tcPr>
          <w:p w14:paraId="1DEA73C7" w14:textId="5204351E"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94 hasta 102cm</w:t>
            </w:r>
          </w:p>
        </w:tc>
        <w:tc>
          <w:tcPr>
            <w:tcW w:w="662" w:type="dxa"/>
            <w:vAlign w:val="center"/>
          </w:tcPr>
          <w:p w14:paraId="46686712" w14:textId="0676A8F4"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10</w:t>
            </w:r>
          </w:p>
        </w:tc>
        <w:tc>
          <w:tcPr>
            <w:tcW w:w="992" w:type="dxa"/>
            <w:vAlign w:val="center"/>
          </w:tcPr>
          <w:p w14:paraId="2E46E5D9" w14:textId="206D3AD7"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32,26 %</w:t>
            </w:r>
          </w:p>
        </w:tc>
        <w:tc>
          <w:tcPr>
            <w:tcW w:w="1324" w:type="dxa"/>
            <w:vAlign w:val="center"/>
          </w:tcPr>
          <w:p w14:paraId="70EC742B" w14:textId="4F4CC313"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Elevado</w:t>
            </w:r>
          </w:p>
        </w:tc>
      </w:tr>
      <w:tr w:rsidR="005F51EE" w:rsidRPr="00D3581F" w14:paraId="61EAC8ED" w14:textId="77777777" w:rsidTr="001906B6">
        <w:trPr>
          <w:trHeight w:val="509"/>
          <w:jc w:val="center"/>
        </w:trPr>
        <w:tc>
          <w:tcPr>
            <w:tcW w:w="1477" w:type="dxa"/>
            <w:vAlign w:val="center"/>
          </w:tcPr>
          <w:p w14:paraId="2FE62EBA" w14:textId="4EE47D74"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Más de 102cm</w:t>
            </w:r>
          </w:p>
        </w:tc>
        <w:tc>
          <w:tcPr>
            <w:tcW w:w="662" w:type="dxa"/>
            <w:vAlign w:val="center"/>
          </w:tcPr>
          <w:p w14:paraId="2C9B66A5" w14:textId="2EADA4E8"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6</w:t>
            </w:r>
          </w:p>
        </w:tc>
        <w:tc>
          <w:tcPr>
            <w:tcW w:w="992" w:type="dxa"/>
            <w:vAlign w:val="center"/>
          </w:tcPr>
          <w:p w14:paraId="60BD8FF2" w14:textId="19770C0C"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19,35 %</w:t>
            </w:r>
          </w:p>
        </w:tc>
        <w:tc>
          <w:tcPr>
            <w:tcW w:w="1324" w:type="dxa"/>
            <w:vAlign w:val="center"/>
          </w:tcPr>
          <w:p w14:paraId="6348261B" w14:textId="3EF6FB0F"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Muy Elevado</w:t>
            </w:r>
          </w:p>
        </w:tc>
      </w:tr>
      <w:tr w:rsidR="005F51EE" w:rsidRPr="00D3581F" w14:paraId="7921DDA2" w14:textId="77777777" w:rsidTr="001906B6">
        <w:trPr>
          <w:trHeight w:val="509"/>
          <w:jc w:val="center"/>
        </w:trPr>
        <w:tc>
          <w:tcPr>
            <w:tcW w:w="1477" w:type="dxa"/>
            <w:vAlign w:val="center"/>
          </w:tcPr>
          <w:p w14:paraId="71D8671C" w14:textId="3C9DDE69"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TOTAL</w:t>
            </w:r>
          </w:p>
        </w:tc>
        <w:tc>
          <w:tcPr>
            <w:tcW w:w="662" w:type="dxa"/>
            <w:vAlign w:val="center"/>
          </w:tcPr>
          <w:p w14:paraId="15F89F53" w14:textId="0F6A28A8"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31</w:t>
            </w:r>
          </w:p>
        </w:tc>
        <w:tc>
          <w:tcPr>
            <w:tcW w:w="992" w:type="dxa"/>
            <w:vAlign w:val="center"/>
          </w:tcPr>
          <w:p w14:paraId="7E04FA41" w14:textId="76A66595" w:rsidR="005F51EE" w:rsidRPr="00D3581F" w:rsidRDefault="005F51EE" w:rsidP="001906B6">
            <w:pPr>
              <w:jc w:val="center"/>
              <w:rPr>
                <w:rFonts w:ascii="Times New Roman" w:hAnsi="Times New Roman" w:cs="Times New Roman"/>
                <w:sz w:val="20"/>
                <w:szCs w:val="20"/>
                <w:lang w:val="es-EC"/>
              </w:rPr>
            </w:pPr>
            <w:r w:rsidRPr="00D3581F">
              <w:rPr>
                <w:rFonts w:ascii="Times New Roman" w:hAnsi="Times New Roman" w:cs="Times New Roman"/>
                <w:sz w:val="20"/>
                <w:szCs w:val="20"/>
              </w:rPr>
              <w:t>100%</w:t>
            </w:r>
          </w:p>
        </w:tc>
        <w:tc>
          <w:tcPr>
            <w:tcW w:w="1324" w:type="dxa"/>
          </w:tcPr>
          <w:p w14:paraId="20019E47" w14:textId="77777777" w:rsidR="005F51EE" w:rsidRPr="00D3581F" w:rsidRDefault="005F51EE" w:rsidP="00664C11">
            <w:pPr>
              <w:jc w:val="both"/>
              <w:rPr>
                <w:rFonts w:ascii="Times New Roman" w:hAnsi="Times New Roman" w:cs="Times New Roman"/>
                <w:sz w:val="20"/>
                <w:szCs w:val="20"/>
                <w:lang w:val="es-EC"/>
              </w:rPr>
            </w:pPr>
          </w:p>
        </w:tc>
      </w:tr>
    </w:tbl>
    <w:p w14:paraId="09E0C54B" w14:textId="0EFD8EFD" w:rsidR="00BD41BD" w:rsidRPr="00D3581F" w:rsidRDefault="00BD41BD" w:rsidP="00664C11">
      <w:pPr>
        <w:spacing w:after="0" w:line="240" w:lineRule="auto"/>
        <w:jc w:val="center"/>
        <w:rPr>
          <w:rFonts w:ascii="Times New Roman" w:hAnsi="Times New Roman" w:cs="Times New Roman"/>
          <w:sz w:val="20"/>
          <w:szCs w:val="20"/>
          <w:lang w:val="es-EC"/>
        </w:rPr>
      </w:pPr>
      <w:r w:rsidRPr="00D3581F">
        <w:rPr>
          <w:rFonts w:ascii="Times New Roman" w:hAnsi="Times New Roman" w:cs="Times New Roman"/>
          <w:sz w:val="20"/>
          <w:szCs w:val="20"/>
          <w:lang w:val="es-ES"/>
        </w:rPr>
        <w:t>Tabla 3. Perímetro abdominal</w:t>
      </w:r>
    </w:p>
    <w:p w14:paraId="70656ACE" w14:textId="77777777" w:rsidR="005833E7" w:rsidRPr="00D3581F" w:rsidRDefault="005833E7" w:rsidP="00664C11">
      <w:pPr>
        <w:spacing w:after="240" w:line="240" w:lineRule="auto"/>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Fuente: Pacientes en riesgo de padecer diabetes en el cantón Jipijapa. Manabí. Ecuador</w:t>
      </w:r>
    </w:p>
    <w:p w14:paraId="2F2DBD19" w14:textId="7DBF5280" w:rsidR="00D4218F" w:rsidRPr="00D3581F" w:rsidRDefault="005833E7" w:rsidP="00664C11">
      <w:pPr>
        <w:spacing w:after="240" w:line="240" w:lineRule="auto"/>
        <w:jc w:val="both"/>
        <w:rPr>
          <w:rFonts w:ascii="Times New Roman" w:hAnsi="Times New Roman" w:cs="Times New Roman"/>
          <w:sz w:val="20"/>
          <w:szCs w:val="20"/>
          <w:lang w:val="es-EC"/>
        </w:rPr>
      </w:pPr>
      <w:r w:rsidRPr="00D3581F">
        <w:rPr>
          <w:rFonts w:ascii="Times New Roman" w:hAnsi="Times New Roman" w:cs="Times New Roman"/>
          <w:sz w:val="20"/>
          <w:szCs w:val="20"/>
          <w:lang w:val="es-ES"/>
        </w:rPr>
        <w:t>De los pacientes examinado</w:t>
      </w:r>
      <w:r w:rsidR="006838BC" w:rsidRPr="00D3581F">
        <w:rPr>
          <w:rFonts w:ascii="Times New Roman" w:hAnsi="Times New Roman" w:cs="Times New Roman"/>
          <w:sz w:val="20"/>
          <w:szCs w:val="20"/>
          <w:lang w:val="es-ES"/>
        </w:rPr>
        <w:t>s</w:t>
      </w:r>
      <w:r w:rsidRPr="00D3581F">
        <w:rPr>
          <w:rFonts w:ascii="Times New Roman" w:hAnsi="Times New Roman" w:cs="Times New Roman"/>
          <w:sz w:val="20"/>
          <w:szCs w:val="20"/>
          <w:lang w:val="es-ES"/>
        </w:rPr>
        <w:t>,</w:t>
      </w:r>
      <w:r w:rsidR="006838BC" w:rsidRPr="00D3581F">
        <w:rPr>
          <w:rFonts w:ascii="Times New Roman" w:hAnsi="Times New Roman" w:cs="Times New Roman"/>
          <w:sz w:val="20"/>
          <w:szCs w:val="20"/>
          <w:lang w:val="es-ES"/>
        </w:rPr>
        <w:t xml:space="preserve"> el 90</w:t>
      </w:r>
      <w:r w:rsidRPr="00D3581F">
        <w:rPr>
          <w:rFonts w:ascii="Times New Roman" w:hAnsi="Times New Roman" w:cs="Times New Roman"/>
          <w:sz w:val="20"/>
          <w:szCs w:val="20"/>
          <w:lang w:val="es-ES"/>
        </w:rPr>
        <w:t>% tienen</w:t>
      </w:r>
      <w:r w:rsidR="006838BC" w:rsidRPr="00D3581F">
        <w:rPr>
          <w:rFonts w:ascii="Times New Roman" w:hAnsi="Times New Roman" w:cs="Times New Roman"/>
          <w:sz w:val="20"/>
          <w:szCs w:val="20"/>
          <w:lang w:val="es-ES"/>
        </w:rPr>
        <w:t xml:space="preserve"> alto riesgo vascular por </w:t>
      </w:r>
      <w:r w:rsidRPr="00D3581F">
        <w:rPr>
          <w:rFonts w:ascii="Times New Roman" w:hAnsi="Times New Roman" w:cs="Times New Roman"/>
          <w:sz w:val="20"/>
          <w:szCs w:val="20"/>
          <w:lang w:val="es-ES"/>
        </w:rPr>
        <w:t>diámetro</w:t>
      </w:r>
      <w:r w:rsidR="006838BC" w:rsidRPr="00D3581F">
        <w:rPr>
          <w:rFonts w:ascii="Times New Roman" w:hAnsi="Times New Roman" w:cs="Times New Roman"/>
          <w:sz w:val="20"/>
          <w:szCs w:val="20"/>
          <w:lang w:val="es-ES"/>
        </w:rPr>
        <w:t xml:space="preserve"> de su cintura</w:t>
      </w:r>
      <w:r w:rsidRPr="00D3581F">
        <w:rPr>
          <w:rFonts w:ascii="Times New Roman" w:hAnsi="Times New Roman" w:cs="Times New Roman"/>
          <w:sz w:val="20"/>
          <w:szCs w:val="20"/>
          <w:lang w:val="es-ES"/>
        </w:rPr>
        <w:t xml:space="preserve">. </w:t>
      </w:r>
      <w:r w:rsidR="00D4218F" w:rsidRPr="00D3581F">
        <w:rPr>
          <w:rFonts w:ascii="Times New Roman" w:hAnsi="Times New Roman" w:cs="Times New Roman"/>
          <w:sz w:val="20"/>
          <w:szCs w:val="20"/>
          <w:lang w:val="es-EC"/>
        </w:rPr>
        <w:t>Las actividades físicas se las puede realizar en distintas etapas de sus vidas para fomentar la práctica física-deportiva-recreativa mediante alternativas de disfrute y goce</w:t>
      </w:r>
      <w:r w:rsidRPr="00D3581F">
        <w:rPr>
          <w:rFonts w:ascii="Times New Roman" w:hAnsi="Times New Roman" w:cs="Times New Roman"/>
          <w:sz w:val="20"/>
          <w:szCs w:val="20"/>
          <w:lang w:val="es-EC"/>
        </w:rPr>
        <w:t>.</w:t>
      </w:r>
    </w:p>
    <w:p w14:paraId="08BC3F61" w14:textId="4B8D125F" w:rsidR="00075505" w:rsidRPr="00D3581F" w:rsidRDefault="001870A6" w:rsidP="00664C11">
      <w:pPr>
        <w:spacing w:after="240" w:line="240" w:lineRule="auto"/>
        <w:jc w:val="both"/>
        <w:rPr>
          <w:rFonts w:ascii="Times New Roman" w:hAnsi="Times New Roman" w:cs="Times New Roman"/>
          <w:sz w:val="20"/>
          <w:szCs w:val="20"/>
          <w:lang w:val="es-EC"/>
        </w:rPr>
      </w:pPr>
      <w:r w:rsidRPr="00D3581F">
        <w:rPr>
          <w:rFonts w:ascii="Times New Roman" w:hAnsi="Times New Roman" w:cs="Times New Roman"/>
          <w:sz w:val="20"/>
          <w:szCs w:val="20"/>
          <w:lang w:val="es-EC"/>
        </w:rPr>
        <w:t xml:space="preserve"> </w:t>
      </w:r>
      <w:r w:rsidR="00D4218F" w:rsidRPr="00D3581F">
        <w:rPr>
          <w:rFonts w:ascii="Times New Roman" w:hAnsi="Times New Roman" w:cs="Times New Roman"/>
          <w:sz w:val="20"/>
          <w:szCs w:val="20"/>
          <w:lang w:val="es-EC"/>
        </w:rPr>
        <w:t xml:space="preserve">Una gran proporción de personas en el ámbito mundial, se encuentran en riesgo de padecer algún tipo de enfermedad crónica; como resultado de la disminución del gasto de </w:t>
      </w:r>
      <w:r w:rsidR="00022742" w:rsidRPr="00D3581F">
        <w:rPr>
          <w:rFonts w:ascii="Times New Roman" w:hAnsi="Times New Roman" w:cs="Times New Roman"/>
          <w:sz w:val="20"/>
          <w:szCs w:val="20"/>
          <w:lang w:val="es-EC"/>
        </w:rPr>
        <w:t>energía y</w:t>
      </w:r>
      <w:r w:rsidR="00D4218F" w:rsidRPr="00D3581F">
        <w:rPr>
          <w:rFonts w:ascii="Times New Roman" w:hAnsi="Times New Roman" w:cs="Times New Roman"/>
          <w:sz w:val="20"/>
          <w:szCs w:val="20"/>
          <w:lang w:val="es-EC"/>
        </w:rPr>
        <w:t xml:space="preserve"> consecuentemente aumento en la grasa corporal –producto del comportamiento sedentario y </w:t>
      </w:r>
      <w:r w:rsidR="005833E7" w:rsidRPr="00D3581F">
        <w:rPr>
          <w:rFonts w:ascii="Times New Roman" w:hAnsi="Times New Roman" w:cs="Times New Roman"/>
          <w:sz w:val="20"/>
          <w:szCs w:val="20"/>
          <w:lang w:val="es-EC"/>
        </w:rPr>
        <w:t>falta de</w:t>
      </w:r>
      <w:r w:rsidR="00D4218F" w:rsidRPr="00D3581F">
        <w:rPr>
          <w:rFonts w:ascii="Times New Roman" w:hAnsi="Times New Roman" w:cs="Times New Roman"/>
          <w:sz w:val="20"/>
          <w:szCs w:val="20"/>
          <w:lang w:val="es-EC"/>
        </w:rPr>
        <w:t xml:space="preserve"> actividad física </w:t>
      </w:r>
      <w:r w:rsidR="00022742" w:rsidRPr="00D3581F">
        <w:rPr>
          <w:rFonts w:ascii="Times New Roman" w:hAnsi="Times New Roman" w:cs="Times New Roman"/>
          <w:sz w:val="20"/>
          <w:szCs w:val="20"/>
          <w:lang w:val="es-EC"/>
        </w:rPr>
        <w:t>(</w:t>
      </w:r>
      <w:proofErr w:type="spellStart"/>
      <w:r w:rsidR="00022742" w:rsidRPr="00D3581F">
        <w:rPr>
          <w:rFonts w:ascii="Times New Roman" w:hAnsi="Times New Roman" w:cs="Times New Roman"/>
          <w:sz w:val="20"/>
          <w:szCs w:val="20"/>
          <w:lang w:val="es-EC"/>
        </w:rPr>
        <w:t>Lavielle</w:t>
      </w:r>
      <w:proofErr w:type="spellEnd"/>
      <w:r w:rsidR="00D4218F" w:rsidRPr="00D3581F">
        <w:rPr>
          <w:rFonts w:ascii="Times New Roman" w:hAnsi="Times New Roman" w:cs="Times New Roman"/>
          <w:sz w:val="20"/>
          <w:szCs w:val="20"/>
          <w:lang w:val="es-EC"/>
        </w:rPr>
        <w:t xml:space="preserve"> Sotomayor, Pineda </w:t>
      </w:r>
      <w:proofErr w:type="spellStart"/>
      <w:r w:rsidR="00D4218F" w:rsidRPr="00D3581F">
        <w:rPr>
          <w:rFonts w:ascii="Times New Roman" w:hAnsi="Times New Roman" w:cs="Times New Roman"/>
          <w:sz w:val="20"/>
          <w:szCs w:val="20"/>
          <w:lang w:val="es-EC"/>
        </w:rPr>
        <w:t>Auino</w:t>
      </w:r>
      <w:proofErr w:type="spellEnd"/>
      <w:r w:rsidR="00D4218F" w:rsidRPr="00D3581F">
        <w:rPr>
          <w:rFonts w:ascii="Times New Roman" w:hAnsi="Times New Roman" w:cs="Times New Roman"/>
          <w:sz w:val="20"/>
          <w:szCs w:val="20"/>
          <w:lang w:val="es-EC"/>
        </w:rPr>
        <w:t xml:space="preserve">, </w:t>
      </w:r>
      <w:proofErr w:type="spellStart"/>
      <w:r w:rsidR="00D4218F" w:rsidRPr="00D3581F">
        <w:rPr>
          <w:rFonts w:ascii="Times New Roman" w:hAnsi="Times New Roman" w:cs="Times New Roman"/>
          <w:sz w:val="20"/>
          <w:szCs w:val="20"/>
          <w:lang w:val="es-EC"/>
        </w:rPr>
        <w:t>Jaureg</w:t>
      </w:r>
      <w:r w:rsidR="00075505" w:rsidRPr="00D3581F">
        <w:rPr>
          <w:rFonts w:ascii="Times New Roman" w:hAnsi="Times New Roman" w:cs="Times New Roman"/>
          <w:sz w:val="20"/>
          <w:szCs w:val="20"/>
          <w:lang w:val="es-EC"/>
        </w:rPr>
        <w:t>ui</w:t>
      </w:r>
      <w:proofErr w:type="spellEnd"/>
      <w:r w:rsidR="00075505" w:rsidRPr="00D3581F">
        <w:rPr>
          <w:rFonts w:ascii="Times New Roman" w:hAnsi="Times New Roman" w:cs="Times New Roman"/>
          <w:sz w:val="20"/>
          <w:szCs w:val="20"/>
          <w:lang w:val="es-EC"/>
        </w:rPr>
        <w:t xml:space="preserve"> </w:t>
      </w:r>
      <w:proofErr w:type="spellStart"/>
      <w:r w:rsidR="00075505" w:rsidRPr="00D3581F">
        <w:rPr>
          <w:rFonts w:ascii="Times New Roman" w:hAnsi="Times New Roman" w:cs="Times New Roman"/>
          <w:sz w:val="20"/>
          <w:szCs w:val="20"/>
          <w:lang w:val="es-EC"/>
        </w:rPr>
        <w:t>Jimenez</w:t>
      </w:r>
      <w:proofErr w:type="spellEnd"/>
      <w:r w:rsidR="00075505" w:rsidRPr="00D3581F">
        <w:rPr>
          <w:rFonts w:ascii="Times New Roman" w:hAnsi="Times New Roman" w:cs="Times New Roman"/>
          <w:sz w:val="20"/>
          <w:szCs w:val="20"/>
          <w:lang w:val="es-EC"/>
        </w:rPr>
        <w:t>, Castillo Trejo</w:t>
      </w:r>
      <w:r w:rsidR="00F53D86" w:rsidRPr="00D3581F">
        <w:rPr>
          <w:rFonts w:ascii="Times New Roman" w:hAnsi="Times New Roman" w:cs="Times New Roman"/>
          <w:sz w:val="20"/>
          <w:szCs w:val="20"/>
          <w:lang w:val="es-EC"/>
        </w:rPr>
        <w:t>)</w:t>
      </w:r>
    </w:p>
    <w:tbl>
      <w:tblPr>
        <w:tblStyle w:val="Tablaconcuadrcula"/>
        <w:tblW w:w="0" w:type="auto"/>
        <w:jc w:val="center"/>
        <w:tblLook w:val="04A0" w:firstRow="1" w:lastRow="0" w:firstColumn="1" w:lastColumn="0" w:noHBand="0" w:noVBand="1"/>
      </w:tblPr>
      <w:tblGrid>
        <w:gridCol w:w="1811"/>
        <w:gridCol w:w="977"/>
        <w:gridCol w:w="1537"/>
      </w:tblGrid>
      <w:tr w:rsidR="005F51EE" w:rsidRPr="00D3581F" w14:paraId="251ECF38" w14:textId="77777777" w:rsidTr="00CC183B">
        <w:trPr>
          <w:trHeight w:val="269"/>
          <w:jc w:val="center"/>
        </w:trPr>
        <w:tc>
          <w:tcPr>
            <w:tcW w:w="1811" w:type="dxa"/>
          </w:tcPr>
          <w:p w14:paraId="21972178" w14:textId="5F43D1E9"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Alternativas</w:t>
            </w:r>
          </w:p>
        </w:tc>
        <w:tc>
          <w:tcPr>
            <w:tcW w:w="977" w:type="dxa"/>
          </w:tcPr>
          <w:p w14:paraId="3DEBB9A2" w14:textId="60FDBE1F"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w:t>
            </w:r>
          </w:p>
        </w:tc>
        <w:tc>
          <w:tcPr>
            <w:tcW w:w="1537" w:type="dxa"/>
          </w:tcPr>
          <w:p w14:paraId="173D48CE" w14:textId="480DE4E2" w:rsidR="005F51EE" w:rsidRPr="00D3581F" w:rsidRDefault="005F51EE" w:rsidP="00664C11">
            <w:pPr>
              <w:pStyle w:val="p"/>
              <w:spacing w:before="0" w:beforeAutospacing="0" w:after="0" w:afterAutospacing="0"/>
              <w:jc w:val="both"/>
              <w:rPr>
                <w:color w:val="000000"/>
                <w:sz w:val="20"/>
                <w:szCs w:val="20"/>
              </w:rPr>
            </w:pPr>
            <w:r w:rsidRPr="00D3581F">
              <w:rPr>
                <w:sz w:val="20"/>
                <w:szCs w:val="20"/>
              </w:rPr>
              <w:t>Riesgo</w:t>
            </w:r>
          </w:p>
        </w:tc>
      </w:tr>
      <w:tr w:rsidR="005F51EE" w:rsidRPr="00D3581F" w14:paraId="76AB5208" w14:textId="77777777" w:rsidTr="00CC183B">
        <w:trPr>
          <w:trHeight w:val="269"/>
          <w:jc w:val="center"/>
        </w:trPr>
        <w:tc>
          <w:tcPr>
            <w:tcW w:w="1811" w:type="dxa"/>
          </w:tcPr>
          <w:p w14:paraId="2A005CA7" w14:textId="5C4D05A4" w:rsidR="005F51EE" w:rsidRPr="00D3581F" w:rsidRDefault="005F51EE" w:rsidP="00664C11">
            <w:pPr>
              <w:pStyle w:val="p"/>
              <w:spacing w:before="0" w:beforeAutospacing="0" w:after="0" w:afterAutospacing="0"/>
              <w:rPr>
                <w:color w:val="000000"/>
                <w:sz w:val="20"/>
                <w:szCs w:val="20"/>
              </w:rPr>
            </w:pPr>
            <w:r w:rsidRPr="00D3581F">
              <w:rPr>
                <w:sz w:val="20"/>
                <w:szCs w:val="20"/>
              </w:rPr>
              <w:t>Menos de 80 cm</w:t>
            </w:r>
          </w:p>
        </w:tc>
        <w:tc>
          <w:tcPr>
            <w:tcW w:w="977" w:type="dxa"/>
          </w:tcPr>
          <w:p w14:paraId="6AEF4D2E" w14:textId="16CB1803" w:rsidR="005F51EE" w:rsidRPr="00D3581F" w:rsidRDefault="005F51EE" w:rsidP="00664C11">
            <w:pPr>
              <w:pStyle w:val="p"/>
              <w:spacing w:before="0" w:beforeAutospacing="0" w:after="0" w:afterAutospacing="0"/>
              <w:rPr>
                <w:color w:val="000000"/>
                <w:sz w:val="20"/>
                <w:szCs w:val="20"/>
              </w:rPr>
            </w:pPr>
            <w:r w:rsidRPr="00D3581F">
              <w:rPr>
                <w:sz w:val="20"/>
                <w:szCs w:val="20"/>
              </w:rPr>
              <w:t>10</w:t>
            </w:r>
          </w:p>
        </w:tc>
        <w:tc>
          <w:tcPr>
            <w:tcW w:w="1537" w:type="dxa"/>
          </w:tcPr>
          <w:p w14:paraId="7970C7BB" w14:textId="2025B913" w:rsidR="005F51EE" w:rsidRPr="00D3581F" w:rsidRDefault="005F51EE" w:rsidP="00664C11">
            <w:pPr>
              <w:pStyle w:val="p"/>
              <w:spacing w:before="0" w:beforeAutospacing="0" w:after="0" w:afterAutospacing="0"/>
              <w:rPr>
                <w:color w:val="000000"/>
                <w:sz w:val="20"/>
                <w:szCs w:val="20"/>
              </w:rPr>
            </w:pPr>
            <w:r w:rsidRPr="00D3581F">
              <w:rPr>
                <w:sz w:val="20"/>
                <w:szCs w:val="20"/>
              </w:rPr>
              <w:t>Normal</w:t>
            </w:r>
          </w:p>
        </w:tc>
      </w:tr>
      <w:tr w:rsidR="005F51EE" w:rsidRPr="00D3581F" w14:paraId="2ED373CB" w14:textId="77777777" w:rsidTr="00CC183B">
        <w:trPr>
          <w:trHeight w:val="269"/>
          <w:jc w:val="center"/>
        </w:trPr>
        <w:tc>
          <w:tcPr>
            <w:tcW w:w="1811" w:type="dxa"/>
          </w:tcPr>
          <w:p w14:paraId="2576FBE9" w14:textId="600991E3" w:rsidR="005F51EE" w:rsidRPr="00D3581F" w:rsidRDefault="005F51EE" w:rsidP="00664C11">
            <w:pPr>
              <w:pStyle w:val="p"/>
              <w:spacing w:before="0" w:beforeAutospacing="0" w:after="0" w:afterAutospacing="0"/>
              <w:rPr>
                <w:color w:val="000000"/>
                <w:sz w:val="20"/>
                <w:szCs w:val="20"/>
              </w:rPr>
            </w:pPr>
            <w:r w:rsidRPr="00D3581F">
              <w:rPr>
                <w:sz w:val="20"/>
                <w:szCs w:val="20"/>
              </w:rPr>
              <w:t>80 hasta 88cm</w:t>
            </w:r>
          </w:p>
        </w:tc>
        <w:tc>
          <w:tcPr>
            <w:tcW w:w="977" w:type="dxa"/>
          </w:tcPr>
          <w:p w14:paraId="60AAEEFC" w14:textId="18F8E61C" w:rsidR="005F51EE" w:rsidRPr="00D3581F" w:rsidRDefault="005F51EE" w:rsidP="00664C11">
            <w:pPr>
              <w:pStyle w:val="p"/>
              <w:spacing w:before="0" w:beforeAutospacing="0" w:after="0" w:afterAutospacing="0"/>
              <w:rPr>
                <w:color w:val="000000"/>
                <w:sz w:val="20"/>
                <w:szCs w:val="20"/>
              </w:rPr>
            </w:pPr>
            <w:r w:rsidRPr="00D3581F">
              <w:rPr>
                <w:sz w:val="20"/>
                <w:szCs w:val="20"/>
              </w:rPr>
              <w:t>35</w:t>
            </w:r>
          </w:p>
        </w:tc>
        <w:tc>
          <w:tcPr>
            <w:tcW w:w="1537" w:type="dxa"/>
          </w:tcPr>
          <w:p w14:paraId="189F357B" w14:textId="6D360E4C" w:rsidR="005F51EE" w:rsidRPr="00D3581F" w:rsidRDefault="005F51EE" w:rsidP="00664C11">
            <w:pPr>
              <w:pStyle w:val="p"/>
              <w:spacing w:before="0" w:beforeAutospacing="0" w:after="0" w:afterAutospacing="0"/>
              <w:rPr>
                <w:color w:val="000000"/>
                <w:sz w:val="20"/>
                <w:szCs w:val="20"/>
              </w:rPr>
            </w:pPr>
            <w:r w:rsidRPr="00D3581F">
              <w:rPr>
                <w:sz w:val="20"/>
                <w:szCs w:val="20"/>
              </w:rPr>
              <w:t>Elevado</w:t>
            </w:r>
          </w:p>
        </w:tc>
      </w:tr>
      <w:tr w:rsidR="005F51EE" w:rsidRPr="00D3581F" w14:paraId="78E89196" w14:textId="77777777" w:rsidTr="00CC183B">
        <w:trPr>
          <w:trHeight w:val="269"/>
          <w:jc w:val="center"/>
        </w:trPr>
        <w:tc>
          <w:tcPr>
            <w:tcW w:w="1811" w:type="dxa"/>
          </w:tcPr>
          <w:p w14:paraId="010E10DC" w14:textId="28DA90D5" w:rsidR="005F51EE" w:rsidRPr="00D3581F" w:rsidRDefault="005F51EE" w:rsidP="00664C11">
            <w:pPr>
              <w:pStyle w:val="p"/>
              <w:spacing w:before="0" w:beforeAutospacing="0" w:after="0" w:afterAutospacing="0"/>
              <w:rPr>
                <w:color w:val="000000"/>
                <w:sz w:val="20"/>
                <w:szCs w:val="20"/>
              </w:rPr>
            </w:pPr>
            <w:r w:rsidRPr="00D3581F">
              <w:rPr>
                <w:sz w:val="20"/>
                <w:szCs w:val="20"/>
              </w:rPr>
              <w:t>Más de 88cm</w:t>
            </w:r>
          </w:p>
        </w:tc>
        <w:tc>
          <w:tcPr>
            <w:tcW w:w="977" w:type="dxa"/>
          </w:tcPr>
          <w:p w14:paraId="13A980CC" w14:textId="7CC196B2" w:rsidR="005F51EE" w:rsidRPr="00D3581F" w:rsidRDefault="005F51EE" w:rsidP="00664C11">
            <w:pPr>
              <w:pStyle w:val="p"/>
              <w:spacing w:before="0" w:beforeAutospacing="0" w:after="0" w:afterAutospacing="0"/>
              <w:rPr>
                <w:color w:val="000000"/>
                <w:sz w:val="20"/>
                <w:szCs w:val="20"/>
              </w:rPr>
            </w:pPr>
            <w:r w:rsidRPr="00D3581F">
              <w:rPr>
                <w:sz w:val="20"/>
                <w:szCs w:val="20"/>
              </w:rPr>
              <w:t>55</w:t>
            </w:r>
          </w:p>
        </w:tc>
        <w:tc>
          <w:tcPr>
            <w:tcW w:w="1537" w:type="dxa"/>
          </w:tcPr>
          <w:p w14:paraId="68BEC06A" w14:textId="279FA405" w:rsidR="005F51EE" w:rsidRPr="00D3581F" w:rsidRDefault="005F51EE" w:rsidP="00664C11">
            <w:pPr>
              <w:pStyle w:val="p"/>
              <w:spacing w:before="0" w:beforeAutospacing="0" w:after="0" w:afterAutospacing="0"/>
              <w:rPr>
                <w:color w:val="000000"/>
                <w:sz w:val="20"/>
                <w:szCs w:val="20"/>
              </w:rPr>
            </w:pPr>
            <w:r w:rsidRPr="00D3581F">
              <w:rPr>
                <w:sz w:val="20"/>
                <w:szCs w:val="20"/>
              </w:rPr>
              <w:t>Muy Elevado</w:t>
            </w:r>
          </w:p>
        </w:tc>
      </w:tr>
      <w:tr w:rsidR="005F51EE" w:rsidRPr="00D3581F" w14:paraId="0E48377D" w14:textId="77777777" w:rsidTr="00CC183B">
        <w:trPr>
          <w:trHeight w:val="269"/>
          <w:jc w:val="center"/>
        </w:trPr>
        <w:tc>
          <w:tcPr>
            <w:tcW w:w="1811" w:type="dxa"/>
          </w:tcPr>
          <w:p w14:paraId="088E4B93" w14:textId="32640C04" w:rsidR="005F51EE" w:rsidRPr="00D3581F" w:rsidRDefault="005F51EE" w:rsidP="00664C11">
            <w:pPr>
              <w:pStyle w:val="p"/>
              <w:spacing w:before="0" w:beforeAutospacing="0" w:after="0" w:afterAutospacing="0"/>
              <w:rPr>
                <w:sz w:val="20"/>
                <w:szCs w:val="20"/>
              </w:rPr>
            </w:pPr>
            <w:r w:rsidRPr="00D3581F">
              <w:rPr>
                <w:sz w:val="20"/>
                <w:szCs w:val="20"/>
              </w:rPr>
              <w:t>TOTAL</w:t>
            </w:r>
          </w:p>
        </w:tc>
        <w:tc>
          <w:tcPr>
            <w:tcW w:w="977" w:type="dxa"/>
          </w:tcPr>
          <w:p w14:paraId="55F5F30F" w14:textId="432DB1C5" w:rsidR="005F51EE" w:rsidRPr="00D3581F" w:rsidRDefault="005F51EE" w:rsidP="00664C11">
            <w:pPr>
              <w:pStyle w:val="p"/>
              <w:spacing w:before="0" w:beforeAutospacing="0" w:after="0" w:afterAutospacing="0"/>
              <w:rPr>
                <w:sz w:val="20"/>
                <w:szCs w:val="20"/>
              </w:rPr>
            </w:pPr>
            <w:r w:rsidRPr="00D3581F">
              <w:rPr>
                <w:sz w:val="20"/>
                <w:szCs w:val="20"/>
              </w:rPr>
              <w:t>100</w:t>
            </w:r>
          </w:p>
        </w:tc>
        <w:tc>
          <w:tcPr>
            <w:tcW w:w="1537" w:type="dxa"/>
          </w:tcPr>
          <w:p w14:paraId="577A6A2D" w14:textId="77777777" w:rsidR="005F51EE" w:rsidRPr="00D3581F" w:rsidRDefault="005F51EE" w:rsidP="00664C11">
            <w:pPr>
              <w:pStyle w:val="p"/>
              <w:spacing w:before="0" w:beforeAutospacing="0" w:after="0" w:afterAutospacing="0"/>
              <w:rPr>
                <w:sz w:val="20"/>
                <w:szCs w:val="20"/>
              </w:rPr>
            </w:pPr>
          </w:p>
        </w:tc>
      </w:tr>
    </w:tbl>
    <w:p w14:paraId="3B4EE627" w14:textId="5538C586" w:rsidR="001F591D" w:rsidRPr="00D3581F" w:rsidRDefault="001F591D" w:rsidP="00664C11">
      <w:pPr>
        <w:spacing w:after="0" w:line="240" w:lineRule="auto"/>
        <w:ind w:firstLine="720"/>
        <w:jc w:val="center"/>
        <w:rPr>
          <w:rFonts w:ascii="Times New Roman" w:hAnsi="Times New Roman" w:cs="Times New Roman"/>
          <w:sz w:val="20"/>
          <w:szCs w:val="20"/>
          <w:lang w:val="es-ES"/>
        </w:rPr>
      </w:pPr>
      <w:r w:rsidRPr="00D3581F">
        <w:rPr>
          <w:rFonts w:ascii="Times New Roman" w:hAnsi="Times New Roman" w:cs="Times New Roman"/>
          <w:sz w:val="20"/>
          <w:szCs w:val="20"/>
          <w:lang w:val="es-ES"/>
        </w:rPr>
        <w:t>Tabla 4. Perímetro de cintura, medido a nivel del ombligo</w:t>
      </w:r>
    </w:p>
    <w:p w14:paraId="2F155B30" w14:textId="77777777" w:rsidR="001F591D" w:rsidRPr="00D3581F" w:rsidRDefault="001F591D" w:rsidP="00664C11">
      <w:pPr>
        <w:spacing w:after="240" w:line="240" w:lineRule="auto"/>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Fuente: Pacientes en riesgo de padecer diabetes en el cantón Jipijapa. Manabí. Ecuador</w:t>
      </w:r>
    </w:p>
    <w:p w14:paraId="0F44CB4B" w14:textId="16FE3F62" w:rsidR="00283467" w:rsidRDefault="00D4218F" w:rsidP="00664C11">
      <w:pPr>
        <w:spacing w:after="240" w:line="240" w:lineRule="auto"/>
        <w:jc w:val="both"/>
        <w:rPr>
          <w:rFonts w:ascii="Times New Roman" w:hAnsi="Times New Roman" w:cs="Times New Roman"/>
          <w:sz w:val="20"/>
          <w:szCs w:val="20"/>
          <w:lang w:val="es-EC"/>
        </w:rPr>
      </w:pPr>
      <w:r w:rsidRPr="00D3581F">
        <w:rPr>
          <w:rFonts w:ascii="Times New Roman" w:hAnsi="Times New Roman" w:cs="Times New Roman"/>
          <w:sz w:val="20"/>
          <w:szCs w:val="20"/>
          <w:lang w:val="es-EC"/>
        </w:rPr>
        <w:t xml:space="preserve">Se trabajó con el 65,9% de pacientes son sexo femenino y el 34,1 % corresponde al sexo masculino. Uno de los parámetros antropométricos utilizados para evaluar la obesidad es el perímetro de cintura aumentado siendo este un factor de riesgo para padecer la diabetes.  Unificado los masculinos  y femeninos  observamos que el riesgo muy  elevado es el de mayor porcentaje con un 42,8% , seguido del riesgo elevado con un 34,07% y el de menor porcentaje es el normal con un 23,08% debiendo ser este el de mayor porcentaje.  </w:t>
      </w:r>
    </w:p>
    <w:p w14:paraId="0715D5D8" w14:textId="77777777" w:rsidR="001906B6" w:rsidRDefault="001906B6" w:rsidP="00664C11">
      <w:pPr>
        <w:spacing w:after="240" w:line="240" w:lineRule="auto"/>
        <w:jc w:val="both"/>
        <w:rPr>
          <w:rFonts w:ascii="Times New Roman" w:hAnsi="Times New Roman" w:cs="Times New Roman"/>
          <w:sz w:val="20"/>
          <w:szCs w:val="20"/>
          <w:lang w:val="es-EC"/>
        </w:rPr>
      </w:pPr>
    </w:p>
    <w:p w14:paraId="6BB97CC2" w14:textId="77777777" w:rsidR="001906B6" w:rsidRPr="00D3581F" w:rsidRDefault="001906B6" w:rsidP="00664C11">
      <w:pPr>
        <w:spacing w:after="240" w:line="240" w:lineRule="auto"/>
        <w:jc w:val="both"/>
        <w:rPr>
          <w:rFonts w:ascii="Times New Roman" w:hAnsi="Times New Roman" w:cs="Times New Roman"/>
          <w:sz w:val="20"/>
          <w:szCs w:val="20"/>
          <w:lang w:val="es-EC"/>
        </w:rPr>
      </w:pPr>
    </w:p>
    <w:tbl>
      <w:tblPr>
        <w:tblStyle w:val="Tablaconcuadrcula"/>
        <w:tblW w:w="4385" w:type="dxa"/>
        <w:jc w:val="center"/>
        <w:tblLook w:val="04A0" w:firstRow="1" w:lastRow="0" w:firstColumn="1" w:lastColumn="0" w:noHBand="0" w:noVBand="1"/>
      </w:tblPr>
      <w:tblGrid>
        <w:gridCol w:w="1837"/>
        <w:gridCol w:w="990"/>
        <w:gridCol w:w="1558"/>
      </w:tblGrid>
      <w:tr w:rsidR="005F51EE" w:rsidRPr="00D3581F" w14:paraId="3642B934" w14:textId="77777777" w:rsidTr="00CC183B">
        <w:trPr>
          <w:trHeight w:val="320"/>
          <w:jc w:val="center"/>
        </w:trPr>
        <w:tc>
          <w:tcPr>
            <w:tcW w:w="1837" w:type="dxa"/>
          </w:tcPr>
          <w:p w14:paraId="5D7FC2AC" w14:textId="3753A117" w:rsidR="005F51EE" w:rsidRPr="00D3581F" w:rsidRDefault="005F51EE" w:rsidP="00664C11">
            <w:pPr>
              <w:pStyle w:val="p"/>
              <w:spacing w:before="0" w:beforeAutospacing="0" w:after="0" w:afterAutospacing="0"/>
              <w:rPr>
                <w:color w:val="000000"/>
                <w:sz w:val="20"/>
                <w:szCs w:val="20"/>
              </w:rPr>
            </w:pPr>
            <w:r w:rsidRPr="00D3581F">
              <w:rPr>
                <w:sz w:val="20"/>
                <w:szCs w:val="20"/>
              </w:rPr>
              <w:lastRenderedPageBreak/>
              <w:t>Alternativas</w:t>
            </w:r>
          </w:p>
        </w:tc>
        <w:tc>
          <w:tcPr>
            <w:tcW w:w="990" w:type="dxa"/>
          </w:tcPr>
          <w:p w14:paraId="095C2112" w14:textId="29A8CB02" w:rsidR="005F51EE" w:rsidRPr="00D3581F" w:rsidRDefault="005F51EE" w:rsidP="00664C11">
            <w:pPr>
              <w:pStyle w:val="p"/>
              <w:spacing w:before="0" w:beforeAutospacing="0" w:after="0" w:afterAutospacing="0"/>
              <w:rPr>
                <w:color w:val="000000"/>
                <w:sz w:val="20"/>
                <w:szCs w:val="20"/>
              </w:rPr>
            </w:pPr>
            <w:r w:rsidRPr="00D3581F">
              <w:rPr>
                <w:sz w:val="20"/>
                <w:szCs w:val="20"/>
              </w:rPr>
              <w:t>f</w:t>
            </w:r>
          </w:p>
        </w:tc>
        <w:tc>
          <w:tcPr>
            <w:tcW w:w="1558" w:type="dxa"/>
          </w:tcPr>
          <w:p w14:paraId="2E6D6830" w14:textId="29F108FD" w:rsidR="005F51EE" w:rsidRPr="00D3581F" w:rsidRDefault="005F51EE" w:rsidP="00664C11">
            <w:pPr>
              <w:pStyle w:val="p"/>
              <w:spacing w:before="0" w:beforeAutospacing="0" w:after="0" w:afterAutospacing="0"/>
              <w:rPr>
                <w:color w:val="000000"/>
                <w:sz w:val="20"/>
                <w:szCs w:val="20"/>
              </w:rPr>
            </w:pPr>
            <w:r w:rsidRPr="00D3581F">
              <w:rPr>
                <w:sz w:val="20"/>
                <w:szCs w:val="20"/>
              </w:rPr>
              <w:t>%</w:t>
            </w:r>
          </w:p>
        </w:tc>
      </w:tr>
      <w:tr w:rsidR="005F51EE" w:rsidRPr="00D3581F" w14:paraId="019F9842" w14:textId="77777777" w:rsidTr="00CC183B">
        <w:trPr>
          <w:trHeight w:val="320"/>
          <w:jc w:val="center"/>
        </w:trPr>
        <w:tc>
          <w:tcPr>
            <w:tcW w:w="1837" w:type="dxa"/>
          </w:tcPr>
          <w:p w14:paraId="38C7C979" w14:textId="5CB9CD2F" w:rsidR="005F51EE" w:rsidRPr="00D3581F" w:rsidRDefault="005F51EE" w:rsidP="00664C11">
            <w:pPr>
              <w:pStyle w:val="p"/>
              <w:spacing w:before="0" w:beforeAutospacing="0" w:after="0" w:afterAutospacing="0"/>
              <w:rPr>
                <w:color w:val="000000"/>
                <w:sz w:val="20"/>
                <w:szCs w:val="20"/>
              </w:rPr>
            </w:pPr>
            <w:r w:rsidRPr="00D3581F">
              <w:rPr>
                <w:sz w:val="20"/>
                <w:szCs w:val="20"/>
              </w:rPr>
              <w:t>Entre 25 y 30</w:t>
            </w:r>
          </w:p>
        </w:tc>
        <w:tc>
          <w:tcPr>
            <w:tcW w:w="990" w:type="dxa"/>
          </w:tcPr>
          <w:p w14:paraId="6388E8AB" w14:textId="51E172AA" w:rsidR="005F51EE" w:rsidRPr="00D3581F" w:rsidRDefault="005F51EE" w:rsidP="00664C11">
            <w:pPr>
              <w:pStyle w:val="p"/>
              <w:spacing w:before="0" w:beforeAutospacing="0" w:after="0" w:afterAutospacing="0"/>
              <w:rPr>
                <w:color w:val="000000"/>
                <w:sz w:val="20"/>
                <w:szCs w:val="20"/>
              </w:rPr>
            </w:pPr>
            <w:r w:rsidRPr="00D3581F">
              <w:rPr>
                <w:sz w:val="20"/>
                <w:szCs w:val="20"/>
              </w:rPr>
              <w:t>45</w:t>
            </w:r>
          </w:p>
        </w:tc>
        <w:tc>
          <w:tcPr>
            <w:tcW w:w="1558" w:type="dxa"/>
          </w:tcPr>
          <w:p w14:paraId="1652CD6D" w14:textId="7057F638" w:rsidR="005F51EE" w:rsidRPr="00D3581F" w:rsidRDefault="005F51EE" w:rsidP="00664C11">
            <w:pPr>
              <w:pStyle w:val="p"/>
              <w:spacing w:before="0" w:beforeAutospacing="0" w:after="0" w:afterAutospacing="0"/>
              <w:rPr>
                <w:color w:val="000000"/>
                <w:sz w:val="20"/>
                <w:szCs w:val="20"/>
              </w:rPr>
            </w:pPr>
            <w:r w:rsidRPr="00D3581F">
              <w:rPr>
                <w:sz w:val="20"/>
                <w:szCs w:val="20"/>
              </w:rPr>
              <w:t>49,45 %</w:t>
            </w:r>
          </w:p>
        </w:tc>
      </w:tr>
      <w:tr w:rsidR="005F51EE" w:rsidRPr="00D3581F" w14:paraId="6073F6A5" w14:textId="77777777" w:rsidTr="00CC183B">
        <w:trPr>
          <w:trHeight w:val="320"/>
          <w:jc w:val="center"/>
        </w:trPr>
        <w:tc>
          <w:tcPr>
            <w:tcW w:w="1837" w:type="dxa"/>
          </w:tcPr>
          <w:p w14:paraId="62A0BE4B" w14:textId="4C11A1C4" w:rsidR="005F51EE" w:rsidRPr="00D3581F" w:rsidRDefault="005F51EE" w:rsidP="00664C11">
            <w:pPr>
              <w:pStyle w:val="p"/>
              <w:spacing w:before="0" w:beforeAutospacing="0" w:after="0" w:afterAutospacing="0"/>
              <w:rPr>
                <w:color w:val="000000"/>
                <w:sz w:val="20"/>
                <w:szCs w:val="20"/>
              </w:rPr>
            </w:pPr>
            <w:r w:rsidRPr="00D3581F">
              <w:rPr>
                <w:sz w:val="20"/>
                <w:szCs w:val="20"/>
              </w:rPr>
              <w:t>Más de 30</w:t>
            </w:r>
          </w:p>
        </w:tc>
        <w:tc>
          <w:tcPr>
            <w:tcW w:w="990" w:type="dxa"/>
          </w:tcPr>
          <w:p w14:paraId="4BB1246E" w14:textId="1902E785" w:rsidR="005F51EE" w:rsidRPr="00D3581F" w:rsidRDefault="005F51EE" w:rsidP="00664C11">
            <w:pPr>
              <w:pStyle w:val="p"/>
              <w:spacing w:before="0" w:beforeAutospacing="0" w:after="0" w:afterAutospacing="0"/>
              <w:rPr>
                <w:color w:val="000000"/>
                <w:sz w:val="20"/>
                <w:szCs w:val="20"/>
              </w:rPr>
            </w:pPr>
            <w:r w:rsidRPr="00D3581F">
              <w:rPr>
                <w:sz w:val="20"/>
                <w:szCs w:val="20"/>
              </w:rPr>
              <w:t>21</w:t>
            </w:r>
          </w:p>
        </w:tc>
        <w:tc>
          <w:tcPr>
            <w:tcW w:w="1558" w:type="dxa"/>
          </w:tcPr>
          <w:p w14:paraId="65CF6574" w14:textId="6DAA25D5" w:rsidR="005F51EE" w:rsidRPr="00D3581F" w:rsidRDefault="005F51EE" w:rsidP="00664C11">
            <w:pPr>
              <w:pStyle w:val="p"/>
              <w:spacing w:before="0" w:beforeAutospacing="0" w:after="0" w:afterAutospacing="0"/>
              <w:rPr>
                <w:color w:val="000000"/>
                <w:sz w:val="20"/>
                <w:szCs w:val="20"/>
              </w:rPr>
            </w:pPr>
            <w:r w:rsidRPr="00D3581F">
              <w:rPr>
                <w:sz w:val="20"/>
                <w:szCs w:val="20"/>
              </w:rPr>
              <w:t>23,08 %</w:t>
            </w:r>
          </w:p>
        </w:tc>
      </w:tr>
      <w:tr w:rsidR="005F51EE" w:rsidRPr="00D3581F" w14:paraId="7F3E4B4A" w14:textId="77777777" w:rsidTr="00CC183B">
        <w:trPr>
          <w:trHeight w:val="320"/>
          <w:jc w:val="center"/>
        </w:trPr>
        <w:tc>
          <w:tcPr>
            <w:tcW w:w="1837" w:type="dxa"/>
          </w:tcPr>
          <w:p w14:paraId="5BC9FA2C" w14:textId="7439802C" w:rsidR="005F51EE" w:rsidRPr="00D3581F" w:rsidRDefault="005F51EE" w:rsidP="00664C11">
            <w:pPr>
              <w:pStyle w:val="p"/>
              <w:spacing w:before="0" w:beforeAutospacing="0" w:after="0" w:afterAutospacing="0"/>
              <w:rPr>
                <w:color w:val="000000"/>
                <w:sz w:val="20"/>
                <w:szCs w:val="20"/>
              </w:rPr>
            </w:pPr>
            <w:r w:rsidRPr="00D3581F">
              <w:rPr>
                <w:sz w:val="20"/>
                <w:szCs w:val="20"/>
              </w:rPr>
              <w:t>Menos de 25</w:t>
            </w:r>
          </w:p>
        </w:tc>
        <w:tc>
          <w:tcPr>
            <w:tcW w:w="990" w:type="dxa"/>
          </w:tcPr>
          <w:p w14:paraId="6E8F48D7" w14:textId="0C42B3D0" w:rsidR="005F51EE" w:rsidRPr="00D3581F" w:rsidRDefault="005F51EE" w:rsidP="00664C11">
            <w:pPr>
              <w:pStyle w:val="p"/>
              <w:spacing w:before="0" w:beforeAutospacing="0" w:after="0" w:afterAutospacing="0"/>
              <w:rPr>
                <w:color w:val="000000"/>
                <w:sz w:val="20"/>
                <w:szCs w:val="20"/>
              </w:rPr>
            </w:pPr>
            <w:r w:rsidRPr="00D3581F">
              <w:rPr>
                <w:sz w:val="20"/>
                <w:szCs w:val="20"/>
              </w:rPr>
              <w:t>25</w:t>
            </w:r>
          </w:p>
        </w:tc>
        <w:tc>
          <w:tcPr>
            <w:tcW w:w="1558" w:type="dxa"/>
          </w:tcPr>
          <w:p w14:paraId="09EA5EAA" w14:textId="6B865DCF" w:rsidR="005F51EE" w:rsidRPr="00D3581F" w:rsidRDefault="005F51EE" w:rsidP="00664C11">
            <w:pPr>
              <w:pStyle w:val="p"/>
              <w:spacing w:before="0" w:beforeAutospacing="0" w:after="0" w:afterAutospacing="0"/>
              <w:rPr>
                <w:color w:val="000000"/>
                <w:sz w:val="20"/>
                <w:szCs w:val="20"/>
              </w:rPr>
            </w:pPr>
            <w:r w:rsidRPr="00D3581F">
              <w:rPr>
                <w:sz w:val="20"/>
                <w:szCs w:val="20"/>
              </w:rPr>
              <w:t>27,47 %</w:t>
            </w:r>
          </w:p>
        </w:tc>
      </w:tr>
      <w:tr w:rsidR="005F51EE" w:rsidRPr="00D3581F" w14:paraId="7C9A3991" w14:textId="77777777" w:rsidTr="00CC183B">
        <w:trPr>
          <w:trHeight w:val="320"/>
          <w:jc w:val="center"/>
        </w:trPr>
        <w:tc>
          <w:tcPr>
            <w:tcW w:w="1837" w:type="dxa"/>
          </w:tcPr>
          <w:p w14:paraId="13DB442E" w14:textId="00378E43" w:rsidR="005F51EE" w:rsidRPr="00D3581F" w:rsidRDefault="005F51EE" w:rsidP="00664C11">
            <w:pPr>
              <w:pStyle w:val="p"/>
              <w:spacing w:before="0" w:beforeAutospacing="0" w:after="0" w:afterAutospacing="0"/>
              <w:rPr>
                <w:sz w:val="20"/>
                <w:szCs w:val="20"/>
              </w:rPr>
            </w:pPr>
            <w:r w:rsidRPr="00D3581F">
              <w:rPr>
                <w:sz w:val="20"/>
                <w:szCs w:val="20"/>
              </w:rPr>
              <w:t>TOTAL</w:t>
            </w:r>
          </w:p>
        </w:tc>
        <w:tc>
          <w:tcPr>
            <w:tcW w:w="990" w:type="dxa"/>
          </w:tcPr>
          <w:p w14:paraId="5DD35A92" w14:textId="738CAF1F" w:rsidR="005F51EE" w:rsidRPr="00D3581F" w:rsidRDefault="005F51EE" w:rsidP="00664C11">
            <w:pPr>
              <w:pStyle w:val="p"/>
              <w:spacing w:before="0" w:beforeAutospacing="0" w:after="0" w:afterAutospacing="0"/>
              <w:rPr>
                <w:sz w:val="20"/>
                <w:szCs w:val="20"/>
              </w:rPr>
            </w:pPr>
            <w:r w:rsidRPr="00D3581F">
              <w:rPr>
                <w:sz w:val="20"/>
                <w:szCs w:val="20"/>
              </w:rPr>
              <w:t>91</w:t>
            </w:r>
          </w:p>
        </w:tc>
        <w:tc>
          <w:tcPr>
            <w:tcW w:w="1558" w:type="dxa"/>
          </w:tcPr>
          <w:p w14:paraId="10468648" w14:textId="77273D42" w:rsidR="005F51EE" w:rsidRPr="00D3581F" w:rsidRDefault="005F51EE" w:rsidP="00664C11">
            <w:pPr>
              <w:pStyle w:val="p"/>
              <w:spacing w:before="0" w:beforeAutospacing="0" w:after="0" w:afterAutospacing="0"/>
              <w:rPr>
                <w:sz w:val="20"/>
                <w:szCs w:val="20"/>
              </w:rPr>
            </w:pPr>
            <w:r w:rsidRPr="00D3581F">
              <w:rPr>
                <w:sz w:val="20"/>
                <w:szCs w:val="20"/>
              </w:rPr>
              <w:t>100%</w:t>
            </w:r>
          </w:p>
        </w:tc>
      </w:tr>
    </w:tbl>
    <w:p w14:paraId="300DBE17" w14:textId="23043A8C" w:rsidR="005F51EE" w:rsidRPr="00D3581F" w:rsidRDefault="005F51EE" w:rsidP="00664C11">
      <w:pPr>
        <w:spacing w:after="240" w:line="240" w:lineRule="auto"/>
        <w:jc w:val="center"/>
        <w:rPr>
          <w:rFonts w:ascii="Times New Roman" w:hAnsi="Times New Roman" w:cs="Times New Roman"/>
          <w:sz w:val="20"/>
          <w:szCs w:val="20"/>
          <w:lang w:val="es-EC"/>
        </w:rPr>
      </w:pPr>
      <w:r w:rsidRPr="00D3581F">
        <w:rPr>
          <w:rFonts w:ascii="Times New Roman" w:hAnsi="Times New Roman" w:cs="Times New Roman"/>
          <w:sz w:val="20"/>
          <w:szCs w:val="20"/>
          <w:lang w:val="es-419"/>
        </w:rPr>
        <w:t>T</w:t>
      </w:r>
      <w:proofErr w:type="spellStart"/>
      <w:r w:rsidRPr="00D3581F">
        <w:rPr>
          <w:rFonts w:ascii="Times New Roman" w:hAnsi="Times New Roman" w:cs="Times New Roman"/>
          <w:sz w:val="20"/>
          <w:szCs w:val="20"/>
          <w:lang w:val="es-EC"/>
        </w:rPr>
        <w:t>abla</w:t>
      </w:r>
      <w:proofErr w:type="spellEnd"/>
      <w:r w:rsidRPr="00D3581F">
        <w:rPr>
          <w:rFonts w:ascii="Times New Roman" w:hAnsi="Times New Roman" w:cs="Times New Roman"/>
          <w:sz w:val="20"/>
          <w:szCs w:val="20"/>
          <w:lang w:val="es-EC"/>
        </w:rPr>
        <w:t xml:space="preserve"> 5. Edad de los </w:t>
      </w:r>
      <w:proofErr w:type="spellStart"/>
      <w:r w:rsidRPr="00D3581F">
        <w:rPr>
          <w:rFonts w:ascii="Times New Roman" w:hAnsi="Times New Roman" w:cs="Times New Roman"/>
          <w:sz w:val="20"/>
          <w:szCs w:val="20"/>
          <w:lang w:val="es-EC"/>
        </w:rPr>
        <w:t>pacientesFuente</w:t>
      </w:r>
      <w:proofErr w:type="spellEnd"/>
      <w:r w:rsidRPr="00D3581F">
        <w:rPr>
          <w:rFonts w:ascii="Times New Roman" w:hAnsi="Times New Roman" w:cs="Times New Roman"/>
          <w:sz w:val="20"/>
          <w:szCs w:val="20"/>
          <w:lang w:val="es-EC"/>
        </w:rPr>
        <w:t>: Pacientes en riesgo de padecer diabetes en el cantón Jipijapa. Manabí. Ecuador</w:t>
      </w:r>
    </w:p>
    <w:p w14:paraId="45114374" w14:textId="77777777" w:rsidR="005F51EE" w:rsidRDefault="005F51EE" w:rsidP="00664C11">
      <w:pPr>
        <w:spacing w:after="240" w:line="240" w:lineRule="auto"/>
        <w:jc w:val="center"/>
        <w:rPr>
          <w:rFonts w:ascii="Times New Roman" w:hAnsi="Times New Roman" w:cs="Times New Roman"/>
          <w:sz w:val="20"/>
          <w:szCs w:val="20"/>
          <w:lang w:val="es-EC"/>
        </w:rPr>
      </w:pPr>
    </w:p>
    <w:tbl>
      <w:tblPr>
        <w:tblStyle w:val="Tablaconcuadrcula"/>
        <w:tblW w:w="0" w:type="auto"/>
        <w:jc w:val="center"/>
        <w:tblLook w:val="04A0" w:firstRow="1" w:lastRow="0" w:firstColumn="1" w:lastColumn="0" w:noHBand="0" w:noVBand="1"/>
      </w:tblPr>
      <w:tblGrid>
        <w:gridCol w:w="2833"/>
        <w:gridCol w:w="1314"/>
      </w:tblGrid>
      <w:tr w:rsidR="005F51EE" w:rsidRPr="00D3581F" w14:paraId="21DA4C3F" w14:textId="77777777" w:rsidTr="00CC183B">
        <w:trPr>
          <w:trHeight w:val="290"/>
          <w:jc w:val="center"/>
        </w:trPr>
        <w:tc>
          <w:tcPr>
            <w:tcW w:w="2833" w:type="dxa"/>
          </w:tcPr>
          <w:p w14:paraId="3849E9BB" w14:textId="2A2FFE36"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Riesgos según  el Perímetro de Cintura</w:t>
            </w:r>
          </w:p>
        </w:tc>
        <w:tc>
          <w:tcPr>
            <w:tcW w:w="1314" w:type="dxa"/>
          </w:tcPr>
          <w:p w14:paraId="06987557" w14:textId="0E381538"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Porcentaje</w:t>
            </w:r>
          </w:p>
        </w:tc>
      </w:tr>
      <w:tr w:rsidR="005F51EE" w:rsidRPr="00D3581F" w14:paraId="4C0B7DEE" w14:textId="77777777" w:rsidTr="00CC183B">
        <w:trPr>
          <w:trHeight w:val="290"/>
          <w:jc w:val="center"/>
        </w:trPr>
        <w:tc>
          <w:tcPr>
            <w:tcW w:w="2833" w:type="dxa"/>
          </w:tcPr>
          <w:p w14:paraId="6955DEE8" w14:textId="1892B048"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Normal</w:t>
            </w:r>
          </w:p>
        </w:tc>
        <w:tc>
          <w:tcPr>
            <w:tcW w:w="1314" w:type="dxa"/>
          </w:tcPr>
          <w:p w14:paraId="1E555E33" w14:textId="4E8170B4"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23.08%</w:t>
            </w:r>
          </w:p>
        </w:tc>
      </w:tr>
      <w:tr w:rsidR="005F51EE" w:rsidRPr="00D3581F" w14:paraId="51D01506" w14:textId="77777777" w:rsidTr="00CC183B">
        <w:trPr>
          <w:trHeight w:val="290"/>
          <w:jc w:val="center"/>
        </w:trPr>
        <w:tc>
          <w:tcPr>
            <w:tcW w:w="2833" w:type="dxa"/>
          </w:tcPr>
          <w:p w14:paraId="305E296B" w14:textId="56CD8C38"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Riesgo elevado</w:t>
            </w:r>
          </w:p>
        </w:tc>
        <w:tc>
          <w:tcPr>
            <w:tcW w:w="1314" w:type="dxa"/>
          </w:tcPr>
          <w:p w14:paraId="2767BD26" w14:textId="26893097"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34,07%</w:t>
            </w:r>
          </w:p>
        </w:tc>
      </w:tr>
      <w:tr w:rsidR="005F51EE" w:rsidRPr="00D3581F" w14:paraId="56599EB4" w14:textId="77777777" w:rsidTr="00CC183B">
        <w:trPr>
          <w:trHeight w:val="290"/>
          <w:jc w:val="center"/>
        </w:trPr>
        <w:tc>
          <w:tcPr>
            <w:tcW w:w="2833" w:type="dxa"/>
          </w:tcPr>
          <w:p w14:paraId="4891F541" w14:textId="7819C813"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Riesgo muy elevado</w:t>
            </w:r>
          </w:p>
        </w:tc>
        <w:tc>
          <w:tcPr>
            <w:tcW w:w="1314" w:type="dxa"/>
          </w:tcPr>
          <w:p w14:paraId="227AA6B1" w14:textId="101D7C16" w:rsidR="005F51EE" w:rsidRPr="00D3581F" w:rsidRDefault="005F51EE" w:rsidP="00664C11">
            <w:pPr>
              <w:jc w:val="center"/>
              <w:rPr>
                <w:rFonts w:ascii="Times New Roman" w:hAnsi="Times New Roman" w:cs="Times New Roman"/>
                <w:sz w:val="20"/>
                <w:szCs w:val="20"/>
                <w:lang w:val="es-EC"/>
              </w:rPr>
            </w:pPr>
            <w:r w:rsidRPr="00D3581F">
              <w:rPr>
                <w:rFonts w:ascii="Times New Roman" w:hAnsi="Times New Roman" w:cs="Times New Roman"/>
                <w:sz w:val="20"/>
                <w:szCs w:val="20"/>
              </w:rPr>
              <w:t>42,86%</w:t>
            </w:r>
          </w:p>
        </w:tc>
      </w:tr>
    </w:tbl>
    <w:p w14:paraId="24243505" w14:textId="77777777" w:rsidR="005F51EE" w:rsidRPr="00D3581F" w:rsidRDefault="005F51EE" w:rsidP="00664C11">
      <w:pPr>
        <w:spacing w:after="0" w:line="240" w:lineRule="auto"/>
        <w:ind w:firstLine="720"/>
        <w:jc w:val="center"/>
        <w:rPr>
          <w:rFonts w:ascii="Times New Roman" w:hAnsi="Times New Roman" w:cs="Times New Roman"/>
          <w:sz w:val="20"/>
          <w:szCs w:val="20"/>
          <w:lang w:val="es-EC"/>
        </w:rPr>
      </w:pPr>
      <w:r w:rsidRPr="00D3581F">
        <w:rPr>
          <w:rFonts w:ascii="Times New Roman" w:hAnsi="Times New Roman" w:cs="Times New Roman"/>
          <w:sz w:val="20"/>
          <w:szCs w:val="20"/>
          <w:lang w:val="es-ES"/>
        </w:rPr>
        <w:t>Tabla 6. Relación de estatura y peso (índice de Masa Corporal - IMC)</w:t>
      </w:r>
    </w:p>
    <w:p w14:paraId="18334989" w14:textId="77777777" w:rsidR="005F51EE" w:rsidRPr="00D3581F" w:rsidRDefault="005F51EE" w:rsidP="00664C11">
      <w:pPr>
        <w:spacing w:after="240" w:line="240" w:lineRule="auto"/>
        <w:jc w:val="center"/>
        <w:rPr>
          <w:rFonts w:ascii="Times New Roman" w:hAnsi="Times New Roman" w:cs="Times New Roman"/>
          <w:sz w:val="20"/>
          <w:szCs w:val="20"/>
          <w:lang w:val="es-EC"/>
        </w:rPr>
      </w:pPr>
      <w:r w:rsidRPr="00D3581F">
        <w:rPr>
          <w:rFonts w:ascii="Times New Roman" w:hAnsi="Times New Roman" w:cs="Times New Roman"/>
          <w:sz w:val="20"/>
          <w:szCs w:val="20"/>
          <w:lang w:val="es-EC"/>
        </w:rPr>
        <w:t>Fuente: Pacientes en riesgo de padecer diabetes en el cantón Jipijapa. Manabí. Ecuador</w:t>
      </w:r>
    </w:p>
    <w:p w14:paraId="15AC52F8" w14:textId="5004EAC4" w:rsidR="00D4218F" w:rsidRPr="00D3581F" w:rsidRDefault="00D4218F" w:rsidP="00664C11">
      <w:pPr>
        <w:spacing w:after="240" w:line="240" w:lineRule="auto"/>
        <w:rPr>
          <w:rFonts w:ascii="Times New Roman" w:hAnsi="Times New Roman" w:cs="Times New Roman"/>
          <w:sz w:val="20"/>
          <w:szCs w:val="20"/>
          <w:lang w:val="es-EC"/>
        </w:rPr>
      </w:pPr>
      <w:r w:rsidRPr="00D3581F">
        <w:rPr>
          <w:rFonts w:ascii="Times New Roman" w:hAnsi="Times New Roman" w:cs="Times New Roman"/>
          <w:sz w:val="20"/>
          <w:szCs w:val="20"/>
          <w:lang w:val="es-EC"/>
        </w:rPr>
        <w:t xml:space="preserve">El antropólogo Belga </w:t>
      </w:r>
      <w:proofErr w:type="spellStart"/>
      <w:r w:rsidRPr="00D3581F">
        <w:rPr>
          <w:rFonts w:ascii="Times New Roman" w:hAnsi="Times New Roman" w:cs="Times New Roman"/>
          <w:sz w:val="20"/>
          <w:szCs w:val="20"/>
          <w:lang w:val="es-EC"/>
        </w:rPr>
        <w:t>Adolp</w:t>
      </w:r>
      <w:proofErr w:type="spellEnd"/>
      <w:r w:rsidRPr="00D3581F">
        <w:rPr>
          <w:rFonts w:ascii="Times New Roman" w:hAnsi="Times New Roman" w:cs="Times New Roman"/>
          <w:sz w:val="20"/>
          <w:szCs w:val="20"/>
          <w:lang w:val="es-EC"/>
        </w:rPr>
        <w:t xml:space="preserve"> </w:t>
      </w:r>
      <w:proofErr w:type="spellStart"/>
      <w:r w:rsidRPr="00D3581F">
        <w:rPr>
          <w:rFonts w:ascii="Times New Roman" w:hAnsi="Times New Roman" w:cs="Times New Roman"/>
          <w:sz w:val="20"/>
          <w:szCs w:val="20"/>
          <w:lang w:val="es-EC"/>
        </w:rPr>
        <w:t>Quetelet</w:t>
      </w:r>
      <w:proofErr w:type="spellEnd"/>
      <w:r w:rsidR="00197606" w:rsidRPr="00D3581F">
        <w:rPr>
          <w:rFonts w:ascii="Times New Roman" w:hAnsi="Times New Roman" w:cs="Times New Roman"/>
          <w:sz w:val="20"/>
          <w:szCs w:val="20"/>
          <w:lang w:val="es-EC"/>
        </w:rPr>
        <w:t>,</w:t>
      </w:r>
      <w:r w:rsidRPr="00D3581F">
        <w:rPr>
          <w:rFonts w:ascii="Times New Roman" w:hAnsi="Times New Roman" w:cs="Times New Roman"/>
          <w:sz w:val="20"/>
          <w:szCs w:val="20"/>
          <w:lang w:val="es-EC"/>
        </w:rPr>
        <w:t xml:space="preserve"> propuso este índice desde el siglo pasado y se emplea cada vez más siendo este un indicador del estado nutricional y la masa corporal.   Del 100% de la población en estudio se observa que </w:t>
      </w:r>
      <w:r w:rsidR="00022742" w:rsidRPr="00D3581F">
        <w:rPr>
          <w:rFonts w:ascii="Times New Roman" w:hAnsi="Times New Roman" w:cs="Times New Roman"/>
          <w:sz w:val="20"/>
          <w:szCs w:val="20"/>
          <w:lang w:val="es-EC"/>
        </w:rPr>
        <w:t>el 27,47</w:t>
      </w:r>
      <w:r w:rsidRPr="00D3581F">
        <w:rPr>
          <w:rFonts w:ascii="Times New Roman" w:hAnsi="Times New Roman" w:cs="Times New Roman"/>
          <w:sz w:val="20"/>
          <w:szCs w:val="20"/>
          <w:lang w:val="es-EC"/>
        </w:rPr>
        <w:t>% del IMC es normal, el 23,08% tienen obesidad y en su mayoría el 49,45 % presentan sobrepeso.</w:t>
      </w:r>
    </w:p>
    <w:p w14:paraId="0EF79F68" w14:textId="77777777" w:rsidR="00D4218F" w:rsidRPr="00D3581F" w:rsidRDefault="00D4218F" w:rsidP="00664C11">
      <w:pPr>
        <w:pStyle w:val="p"/>
        <w:shd w:val="clear" w:color="auto" w:fill="FFFFFF"/>
        <w:spacing w:before="0" w:beforeAutospacing="0" w:after="240" w:afterAutospacing="0"/>
        <w:jc w:val="both"/>
        <w:rPr>
          <w:b/>
          <w:color w:val="000000"/>
          <w:sz w:val="20"/>
          <w:szCs w:val="20"/>
        </w:rPr>
      </w:pPr>
      <w:r w:rsidRPr="00D3581F">
        <w:rPr>
          <w:b/>
          <w:color w:val="000000"/>
          <w:sz w:val="20"/>
          <w:szCs w:val="20"/>
        </w:rPr>
        <w:t>Discusión</w:t>
      </w:r>
    </w:p>
    <w:p w14:paraId="4CAB0BCF" w14:textId="6BD63BEF" w:rsidR="00FF5173" w:rsidRPr="00D3581F" w:rsidRDefault="00FF5173" w:rsidP="00664C11">
      <w:pPr>
        <w:pStyle w:val="p"/>
        <w:shd w:val="clear" w:color="auto" w:fill="FFFFFF"/>
        <w:spacing w:before="0" w:beforeAutospacing="0" w:after="240" w:afterAutospacing="0"/>
        <w:jc w:val="both"/>
        <w:rPr>
          <w:sz w:val="20"/>
          <w:szCs w:val="20"/>
          <w:lang w:val="es-ES" w:eastAsia="es-ES"/>
        </w:rPr>
      </w:pPr>
      <w:r w:rsidRPr="00D3581F">
        <w:rPr>
          <w:color w:val="000000"/>
          <w:sz w:val="20"/>
          <w:szCs w:val="20"/>
        </w:rPr>
        <w:t>Nápoles y Nieve</w:t>
      </w:r>
      <w:r w:rsidR="00277269" w:rsidRPr="00D3581F">
        <w:rPr>
          <w:color w:val="000000"/>
          <w:sz w:val="20"/>
          <w:szCs w:val="20"/>
        </w:rPr>
        <w:t>s</w:t>
      </w:r>
      <w:sdt>
        <w:sdtPr>
          <w:rPr>
            <w:color w:val="000000"/>
            <w:sz w:val="20"/>
            <w:szCs w:val="20"/>
          </w:rPr>
          <w:id w:val="-1923937191"/>
          <w:citation/>
        </w:sdtPr>
        <w:sdtEndPr/>
        <w:sdtContent>
          <w:r w:rsidRPr="00D3581F">
            <w:rPr>
              <w:color w:val="000000"/>
              <w:sz w:val="20"/>
              <w:szCs w:val="20"/>
            </w:rPr>
            <w:fldChar w:fldCharType="begin"/>
          </w:r>
          <w:r w:rsidRPr="00D3581F">
            <w:rPr>
              <w:color w:val="000000"/>
              <w:sz w:val="20"/>
              <w:szCs w:val="20"/>
              <w:lang w:val="es-ES"/>
            </w:rPr>
            <w:instrText xml:space="preserve"> CITATION Lis19 \l 3082 </w:instrText>
          </w:r>
          <w:r w:rsidRPr="00D3581F">
            <w:rPr>
              <w:color w:val="000000"/>
              <w:sz w:val="20"/>
              <w:szCs w:val="20"/>
            </w:rPr>
            <w:fldChar w:fldCharType="separate"/>
          </w:r>
          <w:r w:rsidR="00382F07" w:rsidRPr="00D3581F">
            <w:rPr>
              <w:noProof/>
              <w:color w:val="000000"/>
              <w:sz w:val="20"/>
              <w:szCs w:val="20"/>
              <w:lang w:val="es-ES"/>
            </w:rPr>
            <w:t xml:space="preserve"> (Liseiky Nápoles Péres, 2019)</w:t>
          </w:r>
          <w:r w:rsidRPr="00D3581F">
            <w:rPr>
              <w:color w:val="000000"/>
              <w:sz w:val="20"/>
              <w:szCs w:val="20"/>
            </w:rPr>
            <w:fldChar w:fldCharType="end"/>
          </w:r>
        </w:sdtContent>
      </w:sdt>
      <w:r w:rsidRPr="00D3581F">
        <w:rPr>
          <w:color w:val="000000"/>
          <w:sz w:val="20"/>
          <w:szCs w:val="20"/>
        </w:rPr>
        <w:t xml:space="preserve"> en su trabajo sobre la educación nutricional</w:t>
      </w:r>
      <w:r w:rsidR="000C4B14" w:rsidRPr="00D3581F">
        <w:rPr>
          <w:color w:val="000000"/>
          <w:sz w:val="20"/>
          <w:szCs w:val="20"/>
        </w:rPr>
        <w:t xml:space="preserve"> para un adecuado estilo de vida </w:t>
      </w:r>
      <w:r w:rsidR="000C4B14" w:rsidRPr="00D3581F">
        <w:rPr>
          <w:sz w:val="20"/>
          <w:szCs w:val="20"/>
          <w:lang w:val="es-ES" w:eastAsia="es-ES"/>
        </w:rPr>
        <w:t>menciona las enfermedades crónicas que derivan</w:t>
      </w:r>
      <w:r w:rsidRPr="00D3581F">
        <w:rPr>
          <w:sz w:val="20"/>
          <w:szCs w:val="20"/>
          <w:lang w:val="es-ES" w:eastAsia="es-ES"/>
        </w:rPr>
        <w:t xml:space="preserve"> como la obesidad, la hipertensión, trastornos cardiovasculares y cereb</w:t>
      </w:r>
      <w:r w:rsidR="000C4B14" w:rsidRPr="00D3581F">
        <w:rPr>
          <w:sz w:val="20"/>
          <w:szCs w:val="20"/>
          <w:lang w:val="es-ES" w:eastAsia="es-ES"/>
        </w:rPr>
        <w:t>rovasculares, diabetes y cáncer al igual que</w:t>
      </w:r>
      <w:r w:rsidRPr="00D3581F">
        <w:rPr>
          <w:sz w:val="20"/>
          <w:szCs w:val="20"/>
          <w:lang w:val="es-ES" w:eastAsia="es-ES"/>
        </w:rPr>
        <w:t xml:space="preserve"> desnutrición y su transformación en las distintas poblaciones de virus nobles a patógenos, capaces de generar enfermedades mortales. </w:t>
      </w:r>
    </w:p>
    <w:p w14:paraId="58F0D26C" w14:textId="77777777" w:rsidR="000C4B14" w:rsidRPr="00D3581F" w:rsidRDefault="000C4B14" w:rsidP="00664C11">
      <w:pPr>
        <w:pStyle w:val="p"/>
        <w:shd w:val="clear" w:color="auto" w:fill="FFFFFF"/>
        <w:spacing w:before="0" w:beforeAutospacing="0" w:after="240" w:afterAutospacing="0"/>
        <w:jc w:val="both"/>
        <w:rPr>
          <w:sz w:val="20"/>
          <w:szCs w:val="20"/>
          <w:lang w:val="es-ES" w:eastAsia="es-ES"/>
        </w:rPr>
      </w:pPr>
      <w:r w:rsidRPr="00D3581F">
        <w:rPr>
          <w:sz w:val="20"/>
          <w:szCs w:val="20"/>
          <w:lang w:val="es-ES" w:eastAsia="es-ES"/>
        </w:rPr>
        <w:t>Es lógico proponer que la educación nutricional y el autocuidado para prevenir enfermedades crónicas no transmisibles empiece desde la cátedra de ciencias naturales en las escuelas , ya que ahí es cuando se debe introducir el hábito de ingestión equilibrada de nutrientes y promocionar la actividad física como el mejor y menos costoso recurso para evitar enfermedades perfectamente prevenibles.</w:t>
      </w:r>
    </w:p>
    <w:p w14:paraId="29C56B5A" w14:textId="77777777" w:rsidR="00D4218F" w:rsidRPr="00D3581F" w:rsidRDefault="000C4B14" w:rsidP="00664C11">
      <w:pPr>
        <w:pStyle w:val="p"/>
        <w:shd w:val="clear" w:color="auto" w:fill="FFFFFF"/>
        <w:spacing w:before="0" w:beforeAutospacing="0" w:after="240" w:afterAutospacing="0"/>
        <w:jc w:val="both"/>
        <w:rPr>
          <w:color w:val="000000"/>
          <w:sz w:val="20"/>
          <w:szCs w:val="20"/>
        </w:rPr>
      </w:pPr>
      <w:r w:rsidRPr="00D3581F">
        <w:rPr>
          <w:color w:val="000000"/>
          <w:sz w:val="20"/>
          <w:szCs w:val="20"/>
        </w:rPr>
        <w:t xml:space="preserve">Aún no ha podido solucionar los problemas de desnutrición y enfermedades infecciosas que ya no son causa de muerte en países de primer mundo, sumado a lo anterior ahora debe de empezar a planificar la manera </w:t>
      </w:r>
      <w:r w:rsidRPr="00D3581F">
        <w:rPr>
          <w:color w:val="000000"/>
          <w:sz w:val="20"/>
          <w:szCs w:val="20"/>
        </w:rPr>
        <w:t xml:space="preserve">de disminuir la alta incidencia de enfermedades derivadas de estilos de vida no saludable, Manabí ha sido </w:t>
      </w:r>
      <w:r w:rsidR="00022742" w:rsidRPr="00D3581F">
        <w:rPr>
          <w:color w:val="000000"/>
          <w:sz w:val="20"/>
          <w:szCs w:val="20"/>
        </w:rPr>
        <w:t>premiada por</w:t>
      </w:r>
      <w:r w:rsidRPr="00D3581F">
        <w:rPr>
          <w:color w:val="000000"/>
          <w:sz w:val="20"/>
          <w:szCs w:val="20"/>
        </w:rPr>
        <w:t xml:space="preserve"> la UNESCO debido a su deliciosa gastronomía, es probable que este aspecto tenga injerencia en la alta prevalencia de DM2 en Manabí.</w:t>
      </w:r>
    </w:p>
    <w:p w14:paraId="62F0A6F6" w14:textId="17E6B7B0" w:rsidR="00382F07" w:rsidRPr="00D3581F" w:rsidRDefault="00382F07" w:rsidP="00664C11">
      <w:pPr>
        <w:pStyle w:val="p"/>
        <w:shd w:val="clear" w:color="auto" w:fill="FFFFFF"/>
        <w:spacing w:before="0" w:beforeAutospacing="0" w:after="240" w:afterAutospacing="0"/>
        <w:jc w:val="both"/>
        <w:rPr>
          <w:sz w:val="20"/>
          <w:szCs w:val="20"/>
          <w:lang w:val="es-ES" w:eastAsia="es-ES"/>
        </w:rPr>
      </w:pPr>
      <w:r w:rsidRPr="00D3581F">
        <w:rPr>
          <w:color w:val="000000"/>
          <w:sz w:val="20"/>
          <w:szCs w:val="20"/>
        </w:rPr>
        <w:t xml:space="preserve">Pardo, Vila y Espinel </w:t>
      </w:r>
      <w:sdt>
        <w:sdtPr>
          <w:rPr>
            <w:color w:val="000000"/>
            <w:sz w:val="20"/>
            <w:szCs w:val="20"/>
          </w:rPr>
          <w:id w:val="-1323041959"/>
          <w:citation/>
        </w:sdtPr>
        <w:sdtEndPr/>
        <w:sdtContent>
          <w:r w:rsidRPr="00D3581F">
            <w:rPr>
              <w:color w:val="000000"/>
              <w:sz w:val="20"/>
              <w:szCs w:val="20"/>
            </w:rPr>
            <w:fldChar w:fldCharType="begin"/>
          </w:r>
          <w:r w:rsidRPr="00D3581F">
            <w:rPr>
              <w:color w:val="000000"/>
              <w:sz w:val="20"/>
              <w:szCs w:val="20"/>
            </w:rPr>
            <w:instrText xml:space="preserve"> CITATION Par14 \l 12298 </w:instrText>
          </w:r>
          <w:r w:rsidRPr="00D3581F">
            <w:rPr>
              <w:color w:val="000000"/>
              <w:sz w:val="20"/>
              <w:szCs w:val="20"/>
            </w:rPr>
            <w:fldChar w:fldCharType="separate"/>
          </w:r>
          <w:r w:rsidRPr="00D3581F">
            <w:rPr>
              <w:noProof/>
              <w:color w:val="000000"/>
              <w:sz w:val="20"/>
              <w:szCs w:val="20"/>
            </w:rPr>
            <w:t>(Pardo, Vila, &amp; Espinel, 2014)</w:t>
          </w:r>
          <w:r w:rsidRPr="00D3581F">
            <w:rPr>
              <w:color w:val="000000"/>
              <w:sz w:val="20"/>
              <w:szCs w:val="20"/>
            </w:rPr>
            <w:fldChar w:fldCharType="end"/>
          </w:r>
        </w:sdtContent>
      </w:sdt>
      <w:r w:rsidRPr="00D3581F">
        <w:rPr>
          <w:color w:val="000000"/>
          <w:sz w:val="20"/>
          <w:szCs w:val="20"/>
        </w:rPr>
        <w:t xml:space="preserve"> en su investigación sobre “Respuesta gastronómica para individuos con diabetes”, presenta una estrategia interesante, la cual consiste en un material</w:t>
      </w:r>
      <w:r w:rsidRPr="00D3581F">
        <w:rPr>
          <w:sz w:val="20"/>
          <w:szCs w:val="20"/>
        </w:rPr>
        <w:t xml:space="preserve"> didáctico de conteo de carbohidratos, en el que se encontrará en forma sencilla, reconocer de una manera gráfica la porción de los alimentos y su contenido de 15 gramos de carbohidratos. Este material didáctico expresado en un plato o servilleta o mantel individual, encuentra los alimentos por grupos y porción en gramos haciendo posible su comparación entre sí facilitando los cambios para elaborar receta diseñadas gastronómica y saludablemente recomendadas para el manejo de la alimentación del individuo con Diabetes. Así mismo para el preparador de alimentos o cocinero puede orientar al diabético, en qué cantidad de carbohidrato contiene el plato y si su índice Glicémico es bajo, medio o alto. Con esta información el individuo con diabetes toma la decisión de qué cantidad de carbohidratos a consumir de acuerdo a sus necesidades de insulina y control de su glicemia, este material puede ser muy útil para los pacientes en el contexto ecuatoriano ya que el recordarle siempre al paciente lo que debe o no debe consumir surte efectos que pueden lograr modificar los hábitos alimenticios.</w:t>
      </w:r>
    </w:p>
    <w:p w14:paraId="15B427AD" w14:textId="77777777" w:rsidR="00D4218F" w:rsidRPr="00D3581F" w:rsidRDefault="00D4218F" w:rsidP="00664C11">
      <w:pPr>
        <w:pStyle w:val="p"/>
        <w:shd w:val="clear" w:color="auto" w:fill="FFFFFF"/>
        <w:spacing w:before="0" w:beforeAutospacing="0" w:after="240" w:afterAutospacing="0"/>
        <w:jc w:val="both"/>
        <w:rPr>
          <w:b/>
          <w:color w:val="000000"/>
          <w:sz w:val="20"/>
          <w:szCs w:val="20"/>
        </w:rPr>
      </w:pPr>
      <w:r w:rsidRPr="00D3581F">
        <w:rPr>
          <w:b/>
          <w:color w:val="000000"/>
          <w:sz w:val="20"/>
          <w:szCs w:val="20"/>
        </w:rPr>
        <w:t>Conclusiones</w:t>
      </w:r>
    </w:p>
    <w:p w14:paraId="3B62D25E" w14:textId="77777777" w:rsidR="00AE5D58" w:rsidRPr="00D3581F" w:rsidRDefault="00AE5D58" w:rsidP="00664C11">
      <w:pPr>
        <w:spacing w:after="240" w:line="240" w:lineRule="auto"/>
        <w:jc w:val="both"/>
        <w:rPr>
          <w:rFonts w:ascii="Times New Roman" w:hAnsi="Times New Roman" w:cs="Times New Roman"/>
          <w:sz w:val="20"/>
          <w:szCs w:val="20"/>
          <w:lang w:val="es-EC"/>
        </w:rPr>
      </w:pPr>
      <w:r w:rsidRPr="00D3581F">
        <w:rPr>
          <w:rFonts w:ascii="Times New Roman" w:hAnsi="Times New Roman" w:cs="Times New Roman"/>
          <w:sz w:val="20"/>
          <w:szCs w:val="20"/>
          <w:lang w:val="es-EC"/>
        </w:rPr>
        <w:t>Ecuad</w:t>
      </w:r>
      <w:r w:rsidR="00FF5173" w:rsidRPr="00D3581F">
        <w:rPr>
          <w:rFonts w:ascii="Times New Roman" w:hAnsi="Times New Roman" w:cs="Times New Roman"/>
          <w:sz w:val="20"/>
          <w:szCs w:val="20"/>
          <w:lang w:val="es-EC"/>
        </w:rPr>
        <w:t>o</w:t>
      </w:r>
      <w:r w:rsidR="000C4B14" w:rsidRPr="00D3581F">
        <w:rPr>
          <w:rFonts w:ascii="Times New Roman" w:hAnsi="Times New Roman" w:cs="Times New Roman"/>
          <w:sz w:val="20"/>
          <w:szCs w:val="20"/>
          <w:lang w:val="es-EC"/>
        </w:rPr>
        <w:t>r es un País que tiene excelente</w:t>
      </w:r>
      <w:r w:rsidR="00FF5173" w:rsidRPr="00D3581F">
        <w:rPr>
          <w:rFonts w:ascii="Times New Roman" w:hAnsi="Times New Roman" w:cs="Times New Roman"/>
          <w:sz w:val="20"/>
          <w:szCs w:val="20"/>
          <w:lang w:val="es-EC"/>
        </w:rPr>
        <w:t xml:space="preserve"> gastronomía debido a su biodiversidad</w:t>
      </w:r>
      <w:r w:rsidRPr="00D3581F">
        <w:rPr>
          <w:rFonts w:ascii="Times New Roman" w:hAnsi="Times New Roman" w:cs="Times New Roman"/>
          <w:sz w:val="20"/>
          <w:szCs w:val="20"/>
          <w:lang w:val="es-EC"/>
        </w:rPr>
        <w:t xml:space="preserve">, lo cual hace que el patrón </w:t>
      </w:r>
      <w:r w:rsidR="00FF5173" w:rsidRPr="00D3581F">
        <w:rPr>
          <w:rFonts w:ascii="Times New Roman" w:hAnsi="Times New Roman" w:cs="Times New Roman"/>
          <w:sz w:val="20"/>
          <w:szCs w:val="20"/>
          <w:lang w:val="es-EC"/>
        </w:rPr>
        <w:t xml:space="preserve">alimentario sea variable, esto dificulta la </w:t>
      </w:r>
      <w:r w:rsidR="00022742" w:rsidRPr="00D3581F">
        <w:rPr>
          <w:rFonts w:ascii="Times New Roman" w:hAnsi="Times New Roman" w:cs="Times New Roman"/>
          <w:sz w:val="20"/>
          <w:szCs w:val="20"/>
          <w:lang w:val="es-EC"/>
        </w:rPr>
        <w:t>opción</w:t>
      </w:r>
      <w:r w:rsidRPr="00D3581F">
        <w:rPr>
          <w:rFonts w:ascii="Times New Roman" w:hAnsi="Times New Roman" w:cs="Times New Roman"/>
          <w:sz w:val="20"/>
          <w:szCs w:val="20"/>
          <w:lang w:val="es-EC"/>
        </w:rPr>
        <w:t xml:space="preserve"> de decidir un </w:t>
      </w:r>
      <w:r w:rsidR="00FF5173" w:rsidRPr="00D3581F">
        <w:rPr>
          <w:rFonts w:ascii="Times New Roman" w:hAnsi="Times New Roman" w:cs="Times New Roman"/>
          <w:sz w:val="20"/>
          <w:szCs w:val="20"/>
          <w:lang w:val="es-EC"/>
        </w:rPr>
        <w:t xml:space="preserve">correcto consumo de alimentos ; además de la no </w:t>
      </w:r>
      <w:r w:rsidRPr="00D3581F">
        <w:rPr>
          <w:rFonts w:ascii="Times New Roman" w:hAnsi="Times New Roman" w:cs="Times New Roman"/>
          <w:sz w:val="20"/>
          <w:szCs w:val="20"/>
          <w:lang w:val="es-EC"/>
        </w:rPr>
        <w:t>aplica</w:t>
      </w:r>
      <w:r w:rsidR="00FF5173" w:rsidRPr="00D3581F">
        <w:rPr>
          <w:rFonts w:ascii="Times New Roman" w:hAnsi="Times New Roman" w:cs="Times New Roman"/>
          <w:sz w:val="20"/>
          <w:szCs w:val="20"/>
          <w:lang w:val="es-EC"/>
        </w:rPr>
        <w:t>ción de</w:t>
      </w:r>
      <w:r w:rsidRPr="00D3581F">
        <w:rPr>
          <w:rFonts w:ascii="Times New Roman" w:hAnsi="Times New Roman" w:cs="Times New Roman"/>
          <w:sz w:val="20"/>
          <w:szCs w:val="20"/>
          <w:lang w:val="es-EC"/>
        </w:rPr>
        <w:t xml:space="preserve"> conducta</w:t>
      </w:r>
      <w:r w:rsidR="00FF5173" w:rsidRPr="00D3581F">
        <w:rPr>
          <w:rFonts w:ascii="Times New Roman" w:hAnsi="Times New Roman" w:cs="Times New Roman"/>
          <w:sz w:val="20"/>
          <w:szCs w:val="20"/>
          <w:lang w:val="es-EC"/>
        </w:rPr>
        <w:t>s</w:t>
      </w:r>
      <w:r w:rsidRPr="00D3581F">
        <w:rPr>
          <w:rFonts w:ascii="Times New Roman" w:hAnsi="Times New Roman" w:cs="Times New Roman"/>
          <w:sz w:val="20"/>
          <w:szCs w:val="20"/>
          <w:lang w:val="es-EC"/>
        </w:rPr>
        <w:t xml:space="preserve"> de autocui</w:t>
      </w:r>
      <w:r w:rsidR="00FF5173" w:rsidRPr="00D3581F">
        <w:rPr>
          <w:rFonts w:ascii="Times New Roman" w:hAnsi="Times New Roman" w:cs="Times New Roman"/>
          <w:sz w:val="20"/>
          <w:szCs w:val="20"/>
          <w:lang w:val="es-EC"/>
        </w:rPr>
        <w:t>dado, se prefiere e</w:t>
      </w:r>
      <w:r w:rsidRPr="00D3581F">
        <w:rPr>
          <w:rFonts w:ascii="Times New Roman" w:hAnsi="Times New Roman" w:cs="Times New Roman"/>
          <w:sz w:val="20"/>
          <w:szCs w:val="20"/>
          <w:lang w:val="es-EC"/>
        </w:rPr>
        <w:t xml:space="preserve">l consumo cada vez mayor de alimentos ricos en carbohidratos, grasas </w:t>
      </w:r>
      <w:r w:rsidR="00FF5173" w:rsidRPr="00D3581F">
        <w:rPr>
          <w:rFonts w:ascii="Times New Roman" w:hAnsi="Times New Roman" w:cs="Times New Roman"/>
          <w:sz w:val="20"/>
          <w:szCs w:val="20"/>
          <w:lang w:val="es-EC"/>
        </w:rPr>
        <w:t xml:space="preserve">saturadas </w:t>
      </w:r>
      <w:r w:rsidRPr="00D3581F">
        <w:rPr>
          <w:rFonts w:ascii="Times New Roman" w:hAnsi="Times New Roman" w:cs="Times New Roman"/>
          <w:sz w:val="20"/>
          <w:szCs w:val="20"/>
          <w:lang w:val="es-EC"/>
        </w:rPr>
        <w:t xml:space="preserve">y alimentos ultra procesados, sumado de </w:t>
      </w:r>
      <w:r w:rsidR="00FF5173" w:rsidRPr="00D3581F">
        <w:rPr>
          <w:rFonts w:ascii="Times New Roman" w:hAnsi="Times New Roman" w:cs="Times New Roman"/>
          <w:sz w:val="20"/>
          <w:szCs w:val="20"/>
          <w:lang w:val="es-EC"/>
        </w:rPr>
        <w:t xml:space="preserve">poca o ninguna </w:t>
      </w:r>
      <w:r w:rsidRPr="00D3581F">
        <w:rPr>
          <w:rFonts w:ascii="Times New Roman" w:hAnsi="Times New Roman" w:cs="Times New Roman"/>
          <w:sz w:val="20"/>
          <w:szCs w:val="20"/>
          <w:lang w:val="es-EC"/>
        </w:rPr>
        <w:t>actividad física; aumentando la ingesta calórica y con ell</w:t>
      </w:r>
      <w:r w:rsidR="00022742" w:rsidRPr="00D3581F">
        <w:rPr>
          <w:rFonts w:ascii="Times New Roman" w:hAnsi="Times New Roman" w:cs="Times New Roman"/>
          <w:sz w:val="20"/>
          <w:szCs w:val="20"/>
          <w:lang w:val="es-EC"/>
        </w:rPr>
        <w:t xml:space="preserve">a el aumento de peso , 50,55 de la población en estudio tiene sobrepeso y </w:t>
      </w:r>
      <w:proofErr w:type="spellStart"/>
      <w:r w:rsidR="00022742" w:rsidRPr="00D3581F">
        <w:rPr>
          <w:rFonts w:ascii="Times New Roman" w:hAnsi="Times New Roman" w:cs="Times New Roman"/>
          <w:sz w:val="20"/>
          <w:szCs w:val="20"/>
          <w:lang w:val="es-EC"/>
        </w:rPr>
        <w:t>obesidad</w:t>
      </w:r>
      <w:r w:rsidR="00795698" w:rsidRPr="00D3581F">
        <w:rPr>
          <w:rFonts w:ascii="Times New Roman" w:hAnsi="Times New Roman" w:cs="Times New Roman"/>
          <w:sz w:val="20"/>
          <w:szCs w:val="20"/>
          <w:lang w:val="es-EC"/>
        </w:rPr>
        <w:t>;este</w:t>
      </w:r>
      <w:proofErr w:type="spellEnd"/>
      <w:r w:rsidR="00795698" w:rsidRPr="00D3581F">
        <w:rPr>
          <w:rFonts w:ascii="Times New Roman" w:hAnsi="Times New Roman" w:cs="Times New Roman"/>
          <w:sz w:val="20"/>
          <w:szCs w:val="20"/>
          <w:lang w:val="es-EC"/>
        </w:rPr>
        <w:t xml:space="preserve"> estado inflamatorio genera resistencia a la insulina, el 76,93 % de los hombres y el 90% de las mujeres poseen un diámetro de cintura que sugiere un alto o muy alto riesgo cardiovascular , todos estos datos nos permiten notar que se está </w:t>
      </w:r>
      <w:r w:rsidRPr="00D3581F">
        <w:rPr>
          <w:rFonts w:ascii="Times New Roman" w:hAnsi="Times New Roman" w:cs="Times New Roman"/>
          <w:sz w:val="20"/>
          <w:szCs w:val="20"/>
          <w:lang w:val="es-EC"/>
        </w:rPr>
        <w:t xml:space="preserve"> acrecentando el riesgo de padecer diabetes y de otras enfermedades crónicas no transmisibles, como las cardiovasculares</w:t>
      </w:r>
      <w:r w:rsidR="00022742" w:rsidRPr="00D3581F">
        <w:rPr>
          <w:rFonts w:ascii="Times New Roman" w:hAnsi="Times New Roman" w:cs="Times New Roman"/>
          <w:sz w:val="20"/>
          <w:szCs w:val="20"/>
          <w:lang w:val="es-EC"/>
        </w:rPr>
        <w:t xml:space="preserve"> generando un alto costo en el presupuesto de salud debido a las consecuencias que traen estas enfermedades.</w:t>
      </w:r>
      <w:r w:rsidRPr="00D3581F">
        <w:rPr>
          <w:rFonts w:ascii="Times New Roman" w:hAnsi="Times New Roman" w:cs="Times New Roman"/>
          <w:sz w:val="20"/>
          <w:szCs w:val="20"/>
          <w:lang w:val="es-EC"/>
        </w:rPr>
        <w:t>.</w:t>
      </w:r>
    </w:p>
    <w:p w14:paraId="69469D8A" w14:textId="77777777" w:rsidR="00664C11" w:rsidRDefault="00664C11" w:rsidP="00664C11">
      <w:pPr>
        <w:pStyle w:val="p"/>
        <w:shd w:val="clear" w:color="auto" w:fill="FFFFFF"/>
        <w:spacing w:before="0" w:beforeAutospacing="0" w:after="240" w:afterAutospacing="0"/>
        <w:jc w:val="both"/>
        <w:rPr>
          <w:b/>
          <w:color w:val="000000"/>
          <w:sz w:val="20"/>
          <w:szCs w:val="20"/>
          <w:lang w:val="en-US"/>
        </w:rPr>
      </w:pPr>
    </w:p>
    <w:p w14:paraId="592D34AB" w14:textId="4872A70A" w:rsidR="00237016" w:rsidRPr="00D3581F" w:rsidRDefault="00237016" w:rsidP="00664C11">
      <w:pPr>
        <w:pStyle w:val="p"/>
        <w:shd w:val="clear" w:color="auto" w:fill="FFFFFF"/>
        <w:spacing w:before="0" w:beforeAutospacing="0" w:after="240" w:afterAutospacing="0"/>
        <w:jc w:val="both"/>
        <w:rPr>
          <w:b/>
          <w:color w:val="000000"/>
          <w:sz w:val="20"/>
          <w:szCs w:val="20"/>
          <w:lang w:val="en-US"/>
        </w:rPr>
      </w:pPr>
      <w:proofErr w:type="spellStart"/>
      <w:r w:rsidRPr="00D3581F">
        <w:rPr>
          <w:b/>
          <w:color w:val="000000"/>
          <w:sz w:val="20"/>
          <w:szCs w:val="20"/>
          <w:lang w:val="en-US"/>
        </w:rPr>
        <w:lastRenderedPageBreak/>
        <w:t>Bibliografía</w:t>
      </w:r>
      <w:r w:rsidR="005F51EE" w:rsidRPr="00D3581F">
        <w:rPr>
          <w:b/>
          <w:color w:val="000000"/>
          <w:sz w:val="20"/>
          <w:szCs w:val="20"/>
          <w:lang w:val="en-US"/>
        </w:rPr>
        <w:t>s</w:t>
      </w:r>
      <w:proofErr w:type="spellEnd"/>
    </w:p>
    <w:p w14:paraId="364A59C4" w14:textId="77777777" w:rsidR="00302A47" w:rsidRPr="00D3581F" w:rsidRDefault="00237016"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color w:val="000000"/>
          <w:sz w:val="20"/>
          <w:szCs w:val="20"/>
        </w:rPr>
        <w:fldChar w:fldCharType="begin"/>
      </w:r>
      <w:r w:rsidR="00302A47" w:rsidRPr="00D3581F">
        <w:rPr>
          <w:rFonts w:ascii="Times New Roman" w:hAnsi="Times New Roman" w:cs="Times New Roman"/>
          <w:color w:val="000000"/>
          <w:sz w:val="20"/>
          <w:szCs w:val="20"/>
        </w:rPr>
        <w:instrText xml:space="preserve"> ADDIN ZOTERO_BIBL {"uncited":[],"omitted":[],"custom":[]} CSL_BIBLIOGRAPHY </w:instrText>
      </w:r>
      <w:r w:rsidRPr="00D3581F">
        <w:rPr>
          <w:rFonts w:ascii="Times New Roman" w:hAnsi="Times New Roman" w:cs="Times New Roman"/>
          <w:color w:val="000000"/>
          <w:sz w:val="20"/>
          <w:szCs w:val="20"/>
        </w:rPr>
        <w:fldChar w:fldCharType="separate"/>
      </w:r>
      <w:r w:rsidR="00302A47" w:rsidRPr="00D3581F">
        <w:rPr>
          <w:rFonts w:ascii="Times New Roman" w:hAnsi="Times New Roman" w:cs="Times New Roman"/>
          <w:sz w:val="20"/>
          <w:szCs w:val="20"/>
        </w:rPr>
        <w:t xml:space="preserve">American Diabetes Association. (2018). 5. Prevention or Delay of Type 2 Diabetes: Standards of Medical Care in Diabetes-2018. </w:t>
      </w:r>
      <w:r w:rsidR="00302A47" w:rsidRPr="00D3581F">
        <w:rPr>
          <w:rFonts w:ascii="Times New Roman" w:hAnsi="Times New Roman" w:cs="Times New Roman"/>
          <w:i/>
          <w:iCs/>
          <w:sz w:val="20"/>
          <w:szCs w:val="20"/>
        </w:rPr>
        <w:t>Diabetes Care</w:t>
      </w:r>
      <w:r w:rsidR="00302A47" w:rsidRPr="00D3581F">
        <w:rPr>
          <w:rFonts w:ascii="Times New Roman" w:hAnsi="Times New Roman" w:cs="Times New Roman"/>
          <w:sz w:val="20"/>
          <w:szCs w:val="20"/>
        </w:rPr>
        <w:t xml:space="preserve">, </w:t>
      </w:r>
      <w:r w:rsidR="00302A47" w:rsidRPr="00D3581F">
        <w:rPr>
          <w:rFonts w:ascii="Times New Roman" w:hAnsi="Times New Roman" w:cs="Times New Roman"/>
          <w:i/>
          <w:iCs/>
          <w:sz w:val="20"/>
          <w:szCs w:val="20"/>
        </w:rPr>
        <w:t>41</w:t>
      </w:r>
      <w:r w:rsidR="00302A47" w:rsidRPr="00D3581F">
        <w:rPr>
          <w:rFonts w:ascii="Times New Roman" w:hAnsi="Times New Roman" w:cs="Times New Roman"/>
          <w:sz w:val="20"/>
          <w:szCs w:val="20"/>
        </w:rPr>
        <w:t>(Suppl 1), S51-S54. https://doi.org/10.2337/dc18-S005</w:t>
      </w:r>
    </w:p>
    <w:p w14:paraId="5D627F48"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American Diabetes Association. (2019). 13. Children and Adolescents: Standards of Medical Care in Diabetes-2019. </w:t>
      </w:r>
      <w:r w:rsidRPr="00D3581F">
        <w:rPr>
          <w:rFonts w:ascii="Times New Roman" w:hAnsi="Times New Roman" w:cs="Times New Roman"/>
          <w:i/>
          <w:iCs/>
          <w:sz w:val="20"/>
          <w:szCs w:val="20"/>
        </w:rPr>
        <w:t>Diabetes Care</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42</w:t>
      </w:r>
      <w:r w:rsidRPr="00D3581F">
        <w:rPr>
          <w:rFonts w:ascii="Times New Roman" w:hAnsi="Times New Roman" w:cs="Times New Roman"/>
          <w:sz w:val="20"/>
          <w:szCs w:val="20"/>
        </w:rPr>
        <w:t>(Suppl 1), S148-S164. https://doi.org/10.2337/dc19-S013</w:t>
      </w:r>
    </w:p>
    <w:p w14:paraId="26B9C726"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Beigrezaei, S., Ghiasvand, R., Feizi, A., &amp; Iraj, B. (2019). Relationship between Dietary Patterns and Incidence of Type 2 Diabetes. </w:t>
      </w:r>
      <w:r w:rsidRPr="00D3581F">
        <w:rPr>
          <w:rFonts w:ascii="Times New Roman" w:hAnsi="Times New Roman" w:cs="Times New Roman"/>
          <w:i/>
          <w:iCs/>
          <w:sz w:val="20"/>
          <w:szCs w:val="20"/>
        </w:rPr>
        <w:t>International Journal of Preventive Medicine</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10</w:t>
      </w:r>
      <w:r w:rsidRPr="00D3581F">
        <w:rPr>
          <w:rFonts w:ascii="Times New Roman" w:hAnsi="Times New Roman" w:cs="Times New Roman"/>
          <w:sz w:val="20"/>
          <w:szCs w:val="20"/>
        </w:rPr>
        <w:t>. https://doi.org/10.4103/ijpvm.IJPVM_206_17</w:t>
      </w:r>
    </w:p>
    <w:p w14:paraId="4019B60D"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Chukwuonye, I. I., Chuku, A., John, C., Ohagwu, K. A., Imoh, M. E., Isa, S. E., Ogah, O. S., &amp; Oviasu, E. (2013). Prevalence of overweight and obesity in adult Nigerians—A systematic review. </w:t>
      </w:r>
      <w:r w:rsidRPr="00D3581F">
        <w:rPr>
          <w:rFonts w:ascii="Times New Roman" w:hAnsi="Times New Roman" w:cs="Times New Roman"/>
          <w:i/>
          <w:iCs/>
          <w:sz w:val="20"/>
          <w:szCs w:val="20"/>
        </w:rPr>
        <w:t>Diabetes, Metabolic Syndrome and Obesity: Targets and Therapy</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6</w:t>
      </w:r>
      <w:r w:rsidRPr="00D3581F">
        <w:rPr>
          <w:rFonts w:ascii="Times New Roman" w:hAnsi="Times New Roman" w:cs="Times New Roman"/>
          <w:sz w:val="20"/>
          <w:szCs w:val="20"/>
        </w:rPr>
        <w:t>, 43-47. https://doi.org/10.2147/DMSO.S38626</w:t>
      </w:r>
    </w:p>
    <w:p w14:paraId="3569E1DF"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lang w:val="es-EC"/>
        </w:rPr>
        <w:t xml:space="preserve">Della Pepa, G., Vetrani, C., Vitale, M., &amp; Riccardi, G. (2018). </w:t>
      </w:r>
      <w:r w:rsidRPr="00D3581F">
        <w:rPr>
          <w:rFonts w:ascii="Times New Roman" w:hAnsi="Times New Roman" w:cs="Times New Roman"/>
          <w:sz w:val="20"/>
          <w:szCs w:val="20"/>
        </w:rPr>
        <w:t xml:space="preserve">Wholegrain Intake and Risk of Type 2 Diabetes: Evidence from Epidemiological and Intervention Studies. </w:t>
      </w:r>
      <w:r w:rsidRPr="00D3581F">
        <w:rPr>
          <w:rFonts w:ascii="Times New Roman" w:hAnsi="Times New Roman" w:cs="Times New Roman"/>
          <w:i/>
          <w:iCs/>
          <w:sz w:val="20"/>
          <w:szCs w:val="20"/>
        </w:rPr>
        <w:t>Nutrients</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10</w:t>
      </w:r>
      <w:r w:rsidRPr="00D3581F">
        <w:rPr>
          <w:rFonts w:ascii="Times New Roman" w:hAnsi="Times New Roman" w:cs="Times New Roman"/>
          <w:sz w:val="20"/>
          <w:szCs w:val="20"/>
        </w:rPr>
        <w:t>(9). https://doi.org/10.3390/nu10091288</w:t>
      </w:r>
    </w:p>
    <w:p w14:paraId="3A0AF6FD"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Diabetes Canada Clinical Practice Guidelines Expert Committee, Prebtani, A. P. H., Bajaj, H. S., Goldenberg, R., &amp; Mullan, Y. (2018). Reducing the Risk of Developing Diabetes. </w:t>
      </w:r>
      <w:r w:rsidRPr="00D3581F">
        <w:rPr>
          <w:rFonts w:ascii="Times New Roman" w:hAnsi="Times New Roman" w:cs="Times New Roman"/>
          <w:i/>
          <w:iCs/>
          <w:sz w:val="20"/>
          <w:szCs w:val="20"/>
        </w:rPr>
        <w:t>Canadian Journal of Diabetes</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42 Suppl 1</w:t>
      </w:r>
      <w:r w:rsidRPr="00D3581F">
        <w:rPr>
          <w:rFonts w:ascii="Times New Roman" w:hAnsi="Times New Roman" w:cs="Times New Roman"/>
          <w:sz w:val="20"/>
          <w:szCs w:val="20"/>
        </w:rPr>
        <w:t>, S20-S26. https://doi.org/10.1016/j.jcjd.2017.10.033</w:t>
      </w:r>
    </w:p>
    <w:p w14:paraId="51B20C9E"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lang w:val="es-EC"/>
        </w:rPr>
        <w:t xml:space="preserve">Gutierrez, J., Alloubani, A., Mari, M., &amp; Alzaatreh, M. (2018). </w:t>
      </w:r>
      <w:r w:rsidRPr="00D3581F">
        <w:rPr>
          <w:rFonts w:ascii="Times New Roman" w:hAnsi="Times New Roman" w:cs="Times New Roman"/>
          <w:sz w:val="20"/>
          <w:szCs w:val="20"/>
        </w:rPr>
        <w:t xml:space="preserve">Cardiovascular Disease Risk Factors: Hypertension, Diabetes Mellitus and Obesity among Tabuk Citizens in Saudi Arabia. </w:t>
      </w:r>
      <w:r w:rsidRPr="00D3581F">
        <w:rPr>
          <w:rFonts w:ascii="Times New Roman" w:hAnsi="Times New Roman" w:cs="Times New Roman"/>
          <w:i/>
          <w:iCs/>
          <w:sz w:val="20"/>
          <w:szCs w:val="20"/>
        </w:rPr>
        <w:t>The Open Cardiovascular Medicine Journal</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12</w:t>
      </w:r>
      <w:r w:rsidRPr="00D3581F">
        <w:rPr>
          <w:rFonts w:ascii="Times New Roman" w:hAnsi="Times New Roman" w:cs="Times New Roman"/>
          <w:sz w:val="20"/>
          <w:szCs w:val="20"/>
        </w:rPr>
        <w:t>, 41-49. https://doi.org/10.2174/1874192401812010041</w:t>
      </w:r>
    </w:p>
    <w:p w14:paraId="369AF8E5"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Hajivandi, A., &amp; Amiri, M. (2013). World diabetes day 2013: Diabetes mellitus and nephrology. </w:t>
      </w:r>
      <w:r w:rsidRPr="00D3581F">
        <w:rPr>
          <w:rFonts w:ascii="Times New Roman" w:hAnsi="Times New Roman" w:cs="Times New Roman"/>
          <w:i/>
          <w:iCs/>
          <w:sz w:val="20"/>
          <w:szCs w:val="20"/>
        </w:rPr>
        <w:t>Journal of Nephropharmacology</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2</w:t>
      </w:r>
      <w:r w:rsidRPr="00D3581F">
        <w:rPr>
          <w:rFonts w:ascii="Times New Roman" w:hAnsi="Times New Roman" w:cs="Times New Roman"/>
          <w:sz w:val="20"/>
          <w:szCs w:val="20"/>
        </w:rPr>
        <w:t>(2), 31-32.</w:t>
      </w:r>
    </w:p>
    <w:p w14:paraId="724B2774"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Lazarou, C., Panagiotakos, D., &amp; Matalas, A.-L. (2012). The role of diet in prevention and </w:t>
      </w:r>
      <w:r w:rsidRPr="00D3581F">
        <w:rPr>
          <w:rFonts w:ascii="Times New Roman" w:hAnsi="Times New Roman" w:cs="Times New Roman"/>
          <w:sz w:val="20"/>
          <w:szCs w:val="20"/>
        </w:rPr>
        <w:t xml:space="preserve">management of type 2 diabetes: Implications for public health. </w:t>
      </w:r>
      <w:r w:rsidRPr="00D3581F">
        <w:rPr>
          <w:rFonts w:ascii="Times New Roman" w:hAnsi="Times New Roman" w:cs="Times New Roman"/>
          <w:i/>
          <w:iCs/>
          <w:sz w:val="20"/>
          <w:szCs w:val="20"/>
        </w:rPr>
        <w:t>Critical Reviews in Food Science and Nutrition</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52</w:t>
      </w:r>
      <w:r w:rsidRPr="00D3581F">
        <w:rPr>
          <w:rFonts w:ascii="Times New Roman" w:hAnsi="Times New Roman" w:cs="Times New Roman"/>
          <w:sz w:val="20"/>
          <w:szCs w:val="20"/>
        </w:rPr>
        <w:t>(5), 382-389. https://doi.org/10.1080/10408398.2010.500258</w:t>
      </w:r>
    </w:p>
    <w:p w14:paraId="48358B2B"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lang w:val="es-ES"/>
        </w:rPr>
      </w:pPr>
      <w:r w:rsidRPr="00D3581F">
        <w:rPr>
          <w:rFonts w:ascii="Times New Roman" w:hAnsi="Times New Roman" w:cs="Times New Roman"/>
          <w:sz w:val="20"/>
          <w:szCs w:val="20"/>
          <w:lang w:val="es-EC"/>
        </w:rPr>
        <w:t xml:space="preserve">Ley, S. H., Hamdy, O., Mohan, V., &amp; Hu, F. B. (2014). </w:t>
      </w:r>
      <w:r w:rsidRPr="00D3581F">
        <w:rPr>
          <w:rFonts w:ascii="Times New Roman" w:hAnsi="Times New Roman" w:cs="Times New Roman"/>
          <w:sz w:val="20"/>
          <w:szCs w:val="20"/>
        </w:rPr>
        <w:t xml:space="preserve">Prevention and management of type 2 diabetes: Dietary components and nutritional strategies. </w:t>
      </w:r>
      <w:r w:rsidRPr="00D3581F">
        <w:rPr>
          <w:rFonts w:ascii="Times New Roman" w:hAnsi="Times New Roman" w:cs="Times New Roman"/>
          <w:i/>
          <w:iCs/>
          <w:sz w:val="20"/>
          <w:szCs w:val="20"/>
          <w:lang w:val="es-ES"/>
        </w:rPr>
        <w:t>Lancet (London, England)</w:t>
      </w:r>
      <w:r w:rsidRPr="00D3581F">
        <w:rPr>
          <w:rFonts w:ascii="Times New Roman" w:hAnsi="Times New Roman" w:cs="Times New Roman"/>
          <w:sz w:val="20"/>
          <w:szCs w:val="20"/>
          <w:lang w:val="es-ES"/>
        </w:rPr>
        <w:t xml:space="preserve">, </w:t>
      </w:r>
      <w:r w:rsidRPr="00D3581F">
        <w:rPr>
          <w:rFonts w:ascii="Times New Roman" w:hAnsi="Times New Roman" w:cs="Times New Roman"/>
          <w:i/>
          <w:iCs/>
          <w:sz w:val="20"/>
          <w:szCs w:val="20"/>
          <w:lang w:val="es-ES"/>
        </w:rPr>
        <w:t>383</w:t>
      </w:r>
      <w:r w:rsidRPr="00D3581F">
        <w:rPr>
          <w:rFonts w:ascii="Times New Roman" w:hAnsi="Times New Roman" w:cs="Times New Roman"/>
          <w:sz w:val="20"/>
          <w:szCs w:val="20"/>
          <w:lang w:val="es-ES"/>
        </w:rPr>
        <w:t>(9933), 1999-2007. https://doi.org/10.1016/S0140-6736(14)60613-9</w:t>
      </w:r>
    </w:p>
    <w:p w14:paraId="7CEE1BA0" w14:textId="77777777" w:rsidR="00115790" w:rsidRPr="00D3581F" w:rsidRDefault="00115790" w:rsidP="00664C11">
      <w:pPr>
        <w:pStyle w:val="Bibliografa"/>
        <w:spacing w:line="240" w:lineRule="auto"/>
        <w:rPr>
          <w:noProof/>
          <w:sz w:val="20"/>
          <w:szCs w:val="20"/>
        </w:rPr>
      </w:pPr>
      <w:r w:rsidRPr="00D3581F">
        <w:rPr>
          <w:noProof/>
          <w:sz w:val="20"/>
          <w:szCs w:val="20"/>
          <w:lang w:val="es-ES"/>
        </w:rPr>
        <w:t xml:space="preserve">Liseiky Nápoles Péres, N. R. (febrero de 2019). La educación nutricional para ub adecuado estilo de vida. </w:t>
      </w:r>
      <w:r w:rsidRPr="00D3581F">
        <w:rPr>
          <w:i/>
          <w:iCs/>
          <w:noProof/>
          <w:sz w:val="20"/>
          <w:szCs w:val="20"/>
        </w:rPr>
        <w:t>Revista Atlante, dos</w:t>
      </w:r>
      <w:r w:rsidRPr="00D3581F">
        <w:rPr>
          <w:noProof/>
          <w:sz w:val="20"/>
          <w:szCs w:val="20"/>
        </w:rPr>
        <w:t>(1).</w:t>
      </w:r>
    </w:p>
    <w:p w14:paraId="4928DE8A"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Mandalazi, E., Drake, I., Wirfält, E., Orho-Melander, M., &amp; Sonestedt, E. (2016). A High Diet Quality Based on Dietary Recommendations Is Not Associated with Lower Incidence of Type 2 Diabetes in the Malmö Diet and Cancer Cohort. </w:t>
      </w:r>
      <w:r w:rsidRPr="00D3581F">
        <w:rPr>
          <w:rFonts w:ascii="Times New Roman" w:hAnsi="Times New Roman" w:cs="Times New Roman"/>
          <w:i/>
          <w:iCs/>
          <w:sz w:val="20"/>
          <w:szCs w:val="20"/>
        </w:rPr>
        <w:t>International Journal of Molecular Sciences</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17</w:t>
      </w:r>
      <w:r w:rsidRPr="00D3581F">
        <w:rPr>
          <w:rFonts w:ascii="Times New Roman" w:hAnsi="Times New Roman" w:cs="Times New Roman"/>
          <w:sz w:val="20"/>
          <w:szCs w:val="20"/>
        </w:rPr>
        <w:t>(6). https://doi.org/10.3390/ijms17060901</w:t>
      </w:r>
    </w:p>
    <w:p w14:paraId="3FEE3FE1"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Moradi, M., Rahimi, Z., Amiri, S., Rahimi, Z., Vessal, M., &amp; Nasri, H. (2015). AT1R A1166C variants in patients with type 2 diabetes mellitus and diabetic nephropathy. </w:t>
      </w:r>
      <w:r w:rsidRPr="00D3581F">
        <w:rPr>
          <w:rFonts w:ascii="Times New Roman" w:hAnsi="Times New Roman" w:cs="Times New Roman"/>
          <w:i/>
          <w:iCs/>
          <w:sz w:val="20"/>
          <w:szCs w:val="20"/>
        </w:rPr>
        <w:t>Journal of Nephropathology</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4</w:t>
      </w:r>
      <w:r w:rsidRPr="00D3581F">
        <w:rPr>
          <w:rFonts w:ascii="Times New Roman" w:hAnsi="Times New Roman" w:cs="Times New Roman"/>
          <w:sz w:val="20"/>
          <w:szCs w:val="20"/>
        </w:rPr>
        <w:t>(3), 69-76. https://doi.org/10.12860/jnp.2015.14</w:t>
      </w:r>
    </w:p>
    <w:p w14:paraId="32157C39"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Mozaffarian, D. (2016). Dietary and Policy Priorities for Cardiovascular Disease, Diabetes, and Obesity: A Comprehensive Review. </w:t>
      </w:r>
      <w:r w:rsidRPr="00D3581F">
        <w:rPr>
          <w:rFonts w:ascii="Times New Roman" w:hAnsi="Times New Roman" w:cs="Times New Roman"/>
          <w:i/>
          <w:iCs/>
          <w:sz w:val="20"/>
          <w:szCs w:val="20"/>
        </w:rPr>
        <w:t>Circulation</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133</w:t>
      </w:r>
      <w:r w:rsidRPr="00D3581F">
        <w:rPr>
          <w:rFonts w:ascii="Times New Roman" w:hAnsi="Times New Roman" w:cs="Times New Roman"/>
          <w:sz w:val="20"/>
          <w:szCs w:val="20"/>
        </w:rPr>
        <w:t>(2), 187-225. https://doi.org/10.1161/CIRCULATIONAHA.115.018585</w:t>
      </w:r>
    </w:p>
    <w:p w14:paraId="7D4B563E"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lang w:val="es-ES"/>
        </w:rPr>
      </w:pPr>
      <w:r w:rsidRPr="00D3581F">
        <w:rPr>
          <w:rFonts w:ascii="Times New Roman" w:hAnsi="Times New Roman" w:cs="Times New Roman"/>
          <w:sz w:val="20"/>
          <w:szCs w:val="20"/>
        </w:rPr>
        <w:t xml:space="preserve">National Cholesterol Education Program (NCEP) Expert Panel on Detection, Evaluation, and Treatment of High Blood Cholesterol in Adults (Adult Treatment Panel III). (2002). Third Report of the National Cholesterol Education Program (NCEP) Expert Panel on Detection, Evaluation, and Treatment of High Blood Cholesterol in Adults (Adult Treatment Panel III) final report. </w:t>
      </w:r>
      <w:r w:rsidRPr="00D3581F">
        <w:rPr>
          <w:rFonts w:ascii="Times New Roman" w:hAnsi="Times New Roman" w:cs="Times New Roman"/>
          <w:i/>
          <w:iCs/>
          <w:sz w:val="20"/>
          <w:szCs w:val="20"/>
          <w:lang w:val="es-ES"/>
        </w:rPr>
        <w:t>Circulation</w:t>
      </w:r>
      <w:r w:rsidRPr="00D3581F">
        <w:rPr>
          <w:rFonts w:ascii="Times New Roman" w:hAnsi="Times New Roman" w:cs="Times New Roman"/>
          <w:sz w:val="20"/>
          <w:szCs w:val="20"/>
          <w:lang w:val="es-ES"/>
        </w:rPr>
        <w:t xml:space="preserve">, </w:t>
      </w:r>
      <w:r w:rsidRPr="00D3581F">
        <w:rPr>
          <w:rFonts w:ascii="Times New Roman" w:hAnsi="Times New Roman" w:cs="Times New Roman"/>
          <w:i/>
          <w:iCs/>
          <w:sz w:val="20"/>
          <w:szCs w:val="20"/>
          <w:lang w:val="es-ES"/>
        </w:rPr>
        <w:t>106</w:t>
      </w:r>
      <w:r w:rsidRPr="00D3581F">
        <w:rPr>
          <w:rFonts w:ascii="Times New Roman" w:hAnsi="Times New Roman" w:cs="Times New Roman"/>
          <w:sz w:val="20"/>
          <w:szCs w:val="20"/>
          <w:lang w:val="es-ES"/>
        </w:rPr>
        <w:t>(25), 3143-3421.</w:t>
      </w:r>
    </w:p>
    <w:p w14:paraId="5EB58853" w14:textId="77777777" w:rsidR="00115790" w:rsidRPr="00D3581F" w:rsidRDefault="00115790" w:rsidP="00664C11">
      <w:pPr>
        <w:pStyle w:val="Bibliografa"/>
        <w:spacing w:line="240" w:lineRule="auto"/>
        <w:rPr>
          <w:noProof/>
          <w:sz w:val="20"/>
          <w:szCs w:val="20"/>
          <w:lang w:val="es-ES"/>
        </w:rPr>
      </w:pPr>
      <w:r w:rsidRPr="00D3581F">
        <w:rPr>
          <w:noProof/>
          <w:sz w:val="20"/>
          <w:szCs w:val="20"/>
          <w:lang w:val="es-ES"/>
        </w:rPr>
        <w:t xml:space="preserve">Pardo, E. C., Vila, C. N., &amp; Espinel, L. F. (2014). Respuesta gastronómica para individuos con diabetes. </w:t>
      </w:r>
      <w:r w:rsidRPr="00D3581F">
        <w:rPr>
          <w:i/>
          <w:iCs/>
          <w:noProof/>
          <w:sz w:val="20"/>
          <w:szCs w:val="20"/>
          <w:lang w:val="es-ES"/>
        </w:rPr>
        <w:t>Alimentos Hoy</w:t>
      </w:r>
      <w:r w:rsidRPr="00D3581F">
        <w:rPr>
          <w:noProof/>
          <w:sz w:val="20"/>
          <w:szCs w:val="20"/>
          <w:lang w:val="es-ES"/>
        </w:rPr>
        <w:t>, 10.</w:t>
      </w:r>
    </w:p>
    <w:p w14:paraId="4E3889ED"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lang w:val="es-EC"/>
        </w:rPr>
        <w:t xml:space="preserve">Rahati, S., Shahraki, M., Arjomand, G., &amp; Shahraki, T. (2014). </w:t>
      </w:r>
      <w:r w:rsidRPr="00D3581F">
        <w:rPr>
          <w:rFonts w:ascii="Times New Roman" w:hAnsi="Times New Roman" w:cs="Times New Roman"/>
          <w:sz w:val="20"/>
          <w:szCs w:val="20"/>
        </w:rPr>
        <w:t xml:space="preserve">Food Pattern, Lifestyle and Diabetes </w:t>
      </w:r>
      <w:r w:rsidRPr="00D3581F">
        <w:rPr>
          <w:rFonts w:ascii="Times New Roman" w:hAnsi="Times New Roman" w:cs="Times New Roman"/>
          <w:sz w:val="20"/>
          <w:szCs w:val="20"/>
        </w:rPr>
        <w:lastRenderedPageBreak/>
        <w:t xml:space="preserve">Mellitus. </w:t>
      </w:r>
      <w:r w:rsidRPr="00D3581F">
        <w:rPr>
          <w:rFonts w:ascii="Times New Roman" w:hAnsi="Times New Roman" w:cs="Times New Roman"/>
          <w:i/>
          <w:iCs/>
          <w:sz w:val="20"/>
          <w:szCs w:val="20"/>
        </w:rPr>
        <w:t>International Journal of High Risk Behaviors &amp; Addiction</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3</w:t>
      </w:r>
      <w:r w:rsidRPr="00D3581F">
        <w:rPr>
          <w:rFonts w:ascii="Times New Roman" w:hAnsi="Times New Roman" w:cs="Times New Roman"/>
          <w:sz w:val="20"/>
          <w:szCs w:val="20"/>
        </w:rPr>
        <w:t>(1). https://doi.org/10.5812/ijhrba.8725</w:t>
      </w:r>
    </w:p>
    <w:p w14:paraId="6A10173F"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Richards, M. K., Paeratakul, S., Bray, G. A., &amp; Popkin, B. M. (2001). Current Theories Regarding the Influence of Diet and the Control of Obesity. En T. Wilson &amp; N. J. Temple (Eds.), </w:t>
      </w:r>
      <w:r w:rsidRPr="00D3581F">
        <w:rPr>
          <w:rFonts w:ascii="Times New Roman" w:hAnsi="Times New Roman" w:cs="Times New Roman"/>
          <w:i/>
          <w:iCs/>
          <w:sz w:val="20"/>
          <w:szCs w:val="20"/>
        </w:rPr>
        <w:t>Nutritional Health</w:t>
      </w:r>
      <w:r w:rsidRPr="00D3581F">
        <w:rPr>
          <w:rFonts w:ascii="Times New Roman" w:hAnsi="Times New Roman" w:cs="Times New Roman"/>
          <w:sz w:val="20"/>
          <w:szCs w:val="20"/>
        </w:rPr>
        <w:t xml:space="preserve"> (pp. 135-150). Humana Press. https://doi.org/10.1007/978-1-59259-226-5_10</w:t>
      </w:r>
    </w:p>
    <w:p w14:paraId="0658B70A"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Sahyoun, N. R., Jacques, P. F., Zhang, X. L., Juan, W., &amp; McKeown, N. M. (2006). Whole-grain intake is inversely associated with the metabolic syndrome and mortality in older adults. </w:t>
      </w:r>
      <w:r w:rsidRPr="00D3581F">
        <w:rPr>
          <w:rFonts w:ascii="Times New Roman" w:hAnsi="Times New Roman" w:cs="Times New Roman"/>
          <w:i/>
          <w:iCs/>
          <w:sz w:val="20"/>
          <w:szCs w:val="20"/>
        </w:rPr>
        <w:t>The American Journal of Clinical Nutrition</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83</w:t>
      </w:r>
      <w:r w:rsidRPr="00D3581F">
        <w:rPr>
          <w:rFonts w:ascii="Times New Roman" w:hAnsi="Times New Roman" w:cs="Times New Roman"/>
          <w:sz w:val="20"/>
          <w:szCs w:val="20"/>
        </w:rPr>
        <w:t>(1), 124-131. https://doi.org/10.1093/ajcn/83.1.124</w:t>
      </w:r>
    </w:p>
    <w:p w14:paraId="1472A45F"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lang w:val="es-EC"/>
        </w:rPr>
        <w:t xml:space="preserve">Salas-Salvadó, J., Martinez-González, M. Á., Bulló, M., &amp; Ros, E. (2011). </w:t>
      </w:r>
      <w:r w:rsidRPr="00D3581F">
        <w:rPr>
          <w:rFonts w:ascii="Times New Roman" w:hAnsi="Times New Roman" w:cs="Times New Roman"/>
          <w:sz w:val="20"/>
          <w:szCs w:val="20"/>
        </w:rPr>
        <w:t xml:space="preserve">The role of diet in the prevention of type 2 diabetes. </w:t>
      </w:r>
      <w:r w:rsidRPr="00D3581F">
        <w:rPr>
          <w:rFonts w:ascii="Times New Roman" w:hAnsi="Times New Roman" w:cs="Times New Roman"/>
          <w:i/>
          <w:iCs/>
          <w:sz w:val="20"/>
          <w:szCs w:val="20"/>
        </w:rPr>
        <w:t>Nutrition, Metabolism, and Cardiovascular Diseases: NMCD</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21 Suppl 2</w:t>
      </w:r>
      <w:r w:rsidRPr="00D3581F">
        <w:rPr>
          <w:rFonts w:ascii="Times New Roman" w:hAnsi="Times New Roman" w:cs="Times New Roman"/>
          <w:sz w:val="20"/>
          <w:szCs w:val="20"/>
        </w:rPr>
        <w:t>, B32-48. https://doi.org/10.1016/j.numecd.2011.03.009</w:t>
      </w:r>
    </w:p>
    <w:p w14:paraId="0D188AA9"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lang w:val="es-EC"/>
        </w:rPr>
        <w:t xml:space="preserve">Salas-Salvadó, Jordi, Bulló, M., Estruch, R., Ros, E., Covas, M.-I., Ibarrola-Jurado, N., Corella, D., Arós, F., Gómez-Gracia, E., Ruiz-Gutiérrez, V., Romaguera, D., Lapetra, J., Lamuela-Raventós, R. M., Serra-Majem, L., Pintó, X., Basora, J., Muñoz, M. A., Sorlí, J. V., &amp; Martínez-González, M. A. (2014). </w:t>
      </w:r>
      <w:r w:rsidRPr="00D3581F">
        <w:rPr>
          <w:rFonts w:ascii="Times New Roman" w:hAnsi="Times New Roman" w:cs="Times New Roman"/>
          <w:sz w:val="20"/>
          <w:szCs w:val="20"/>
        </w:rPr>
        <w:t xml:space="preserve">Prevention of diabetes with Mediterranean diets: A subgroup analysis of a randomized trial. </w:t>
      </w:r>
      <w:r w:rsidRPr="00D3581F">
        <w:rPr>
          <w:rFonts w:ascii="Times New Roman" w:hAnsi="Times New Roman" w:cs="Times New Roman"/>
          <w:i/>
          <w:iCs/>
          <w:sz w:val="20"/>
          <w:szCs w:val="20"/>
        </w:rPr>
        <w:t>Annals of Internal Medicine</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160</w:t>
      </w:r>
      <w:r w:rsidRPr="00D3581F">
        <w:rPr>
          <w:rFonts w:ascii="Times New Roman" w:hAnsi="Times New Roman" w:cs="Times New Roman"/>
          <w:sz w:val="20"/>
          <w:szCs w:val="20"/>
        </w:rPr>
        <w:t>(1), 1-10. https://doi.org/10.7326/M13-1725</w:t>
      </w:r>
    </w:p>
    <w:p w14:paraId="018C2713"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Sami, W., Ansari, T., Butt, N. S., &amp; Hamid, M. R. A. (2017). Effect of diet on type 2 diabetes mellitus: A review. </w:t>
      </w:r>
      <w:r w:rsidRPr="00D3581F">
        <w:rPr>
          <w:rFonts w:ascii="Times New Roman" w:hAnsi="Times New Roman" w:cs="Times New Roman"/>
          <w:i/>
          <w:iCs/>
          <w:sz w:val="20"/>
          <w:szCs w:val="20"/>
        </w:rPr>
        <w:t>International Journal of Health Sciences</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11</w:t>
      </w:r>
      <w:r w:rsidRPr="00D3581F">
        <w:rPr>
          <w:rFonts w:ascii="Times New Roman" w:hAnsi="Times New Roman" w:cs="Times New Roman"/>
          <w:sz w:val="20"/>
          <w:szCs w:val="20"/>
        </w:rPr>
        <w:t>(2), 65-71.</w:t>
      </w:r>
    </w:p>
    <w:p w14:paraId="78C3C7C9"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Schwingshackl, L., Hoffmann, G., Lampousi, A.-M., Knüppel, S., Iqbal, K., Schwedhelm, C., Bechthold, A., Schlesinger, S., &amp; Boeing, H. (2017). Food groups and risk of type 2 diabetes mellitus: A systematic review and meta-analysis of prospective studies. </w:t>
      </w:r>
      <w:r w:rsidRPr="00D3581F">
        <w:rPr>
          <w:rFonts w:ascii="Times New Roman" w:hAnsi="Times New Roman" w:cs="Times New Roman"/>
          <w:i/>
          <w:iCs/>
          <w:sz w:val="20"/>
          <w:szCs w:val="20"/>
        </w:rPr>
        <w:t>European Journal of Epidemiology</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32</w:t>
      </w:r>
      <w:r w:rsidRPr="00D3581F">
        <w:rPr>
          <w:rFonts w:ascii="Times New Roman" w:hAnsi="Times New Roman" w:cs="Times New Roman"/>
          <w:sz w:val="20"/>
          <w:szCs w:val="20"/>
        </w:rPr>
        <w:t>(5), 363-375. https://doi.org/10.1007/s10654-017-0246-y</w:t>
      </w:r>
    </w:p>
    <w:p w14:paraId="09D45998" w14:textId="77777777" w:rsidR="00302A47"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rPr>
      </w:pPr>
      <w:r w:rsidRPr="00D3581F">
        <w:rPr>
          <w:rFonts w:ascii="Times New Roman" w:hAnsi="Times New Roman" w:cs="Times New Roman"/>
          <w:sz w:val="20"/>
          <w:szCs w:val="20"/>
        </w:rPr>
        <w:t xml:space="preserve">Song, S., &amp; Shim, J. E. (2019). Trends in Dietary Intake of Total Fat and Fatty Acids Among Korean Adolescents from 2007 to 2017. </w:t>
      </w:r>
      <w:r w:rsidRPr="00D3581F">
        <w:rPr>
          <w:rFonts w:ascii="Times New Roman" w:hAnsi="Times New Roman" w:cs="Times New Roman"/>
          <w:i/>
          <w:iCs/>
          <w:sz w:val="20"/>
          <w:szCs w:val="20"/>
        </w:rPr>
        <w:t>Nutrients</w:t>
      </w:r>
      <w:r w:rsidRPr="00D3581F">
        <w:rPr>
          <w:rFonts w:ascii="Times New Roman" w:hAnsi="Times New Roman" w:cs="Times New Roman"/>
          <w:sz w:val="20"/>
          <w:szCs w:val="20"/>
        </w:rPr>
        <w:t xml:space="preserve">, </w:t>
      </w:r>
      <w:r w:rsidRPr="00D3581F">
        <w:rPr>
          <w:rFonts w:ascii="Times New Roman" w:hAnsi="Times New Roman" w:cs="Times New Roman"/>
          <w:i/>
          <w:iCs/>
          <w:sz w:val="20"/>
          <w:szCs w:val="20"/>
        </w:rPr>
        <w:t>11</w:t>
      </w:r>
      <w:r w:rsidRPr="00D3581F">
        <w:rPr>
          <w:rFonts w:ascii="Times New Roman" w:hAnsi="Times New Roman" w:cs="Times New Roman"/>
          <w:sz w:val="20"/>
          <w:szCs w:val="20"/>
        </w:rPr>
        <w:t>(12). https://doi.org/10.3390/nu11123073</w:t>
      </w:r>
    </w:p>
    <w:p w14:paraId="18D5C1BF" w14:textId="70CEDE30" w:rsidR="00237016" w:rsidRPr="00D3581F" w:rsidRDefault="00302A47" w:rsidP="00664C11">
      <w:pPr>
        <w:pStyle w:val="Bibliografa"/>
        <w:tabs>
          <w:tab w:val="left" w:pos="426"/>
        </w:tabs>
        <w:spacing w:after="240" w:line="240" w:lineRule="auto"/>
        <w:ind w:left="567" w:hanging="567"/>
        <w:rPr>
          <w:rFonts w:ascii="Times New Roman" w:hAnsi="Times New Roman" w:cs="Times New Roman"/>
          <w:sz w:val="20"/>
          <w:szCs w:val="20"/>
          <w:lang w:val="es-EC"/>
        </w:rPr>
      </w:pPr>
      <w:r w:rsidRPr="00D3581F">
        <w:rPr>
          <w:rFonts w:ascii="Times New Roman" w:hAnsi="Times New Roman" w:cs="Times New Roman"/>
          <w:sz w:val="20"/>
          <w:szCs w:val="20"/>
        </w:rPr>
        <w:t xml:space="preserve">Zong, G., Eisenberg, D. M., Hu, F. B., &amp; Sun, Q. (2016). Consumption of Meals Prepared at Home and Risk of Type 2 Diabetes: An Analysis of Two Prospective Cohort Studies. </w:t>
      </w:r>
      <w:r w:rsidRPr="00D3581F">
        <w:rPr>
          <w:rFonts w:ascii="Times New Roman" w:hAnsi="Times New Roman" w:cs="Times New Roman"/>
          <w:i/>
          <w:iCs/>
          <w:sz w:val="20"/>
          <w:szCs w:val="20"/>
          <w:lang w:val="es-EC"/>
        </w:rPr>
        <w:t>PLoS Medicine</w:t>
      </w:r>
      <w:r w:rsidRPr="00D3581F">
        <w:rPr>
          <w:rFonts w:ascii="Times New Roman" w:hAnsi="Times New Roman" w:cs="Times New Roman"/>
          <w:sz w:val="20"/>
          <w:szCs w:val="20"/>
          <w:lang w:val="es-EC"/>
        </w:rPr>
        <w:t xml:space="preserve">, </w:t>
      </w:r>
      <w:r w:rsidRPr="00D3581F">
        <w:rPr>
          <w:rFonts w:ascii="Times New Roman" w:hAnsi="Times New Roman" w:cs="Times New Roman"/>
          <w:i/>
          <w:iCs/>
          <w:sz w:val="20"/>
          <w:szCs w:val="20"/>
          <w:lang w:val="es-EC"/>
        </w:rPr>
        <w:t>13</w:t>
      </w:r>
      <w:r w:rsidRPr="00D3581F">
        <w:rPr>
          <w:rFonts w:ascii="Times New Roman" w:hAnsi="Times New Roman" w:cs="Times New Roman"/>
          <w:sz w:val="20"/>
          <w:szCs w:val="20"/>
          <w:lang w:val="es-EC"/>
        </w:rPr>
        <w:t>(7). https://doi.org/10.1371/journal.pmed.1002052</w:t>
      </w:r>
      <w:r w:rsidR="00237016" w:rsidRPr="00D3581F">
        <w:rPr>
          <w:color w:val="000000"/>
          <w:sz w:val="20"/>
          <w:szCs w:val="20"/>
        </w:rPr>
        <w:fldChar w:fldCharType="end"/>
      </w:r>
    </w:p>
    <w:sectPr w:rsidR="00237016" w:rsidRPr="00D3581F" w:rsidSect="00CC183B">
      <w:type w:val="continuous"/>
      <w:pgSz w:w="12240" w:h="15840"/>
      <w:pgMar w:top="1418" w:right="1418" w:bottom="1418" w:left="1701" w:header="720" w:footer="720" w:gutter="0"/>
      <w:cols w:num="2" w:space="33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54453" w14:textId="77777777" w:rsidR="00504025" w:rsidRDefault="00504025" w:rsidP="00BC1BB1">
      <w:pPr>
        <w:spacing w:after="0" w:line="240" w:lineRule="auto"/>
      </w:pPr>
      <w:r>
        <w:separator/>
      </w:r>
    </w:p>
  </w:endnote>
  <w:endnote w:type="continuationSeparator" w:id="0">
    <w:p w14:paraId="10EF116A" w14:textId="77777777" w:rsidR="00504025" w:rsidRDefault="00504025" w:rsidP="00BC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CE603" w14:textId="77777777" w:rsidR="00BC1BB1" w:rsidRPr="00B748A8" w:rsidRDefault="00BC1BB1" w:rsidP="00BC1BB1">
    <w:pPr>
      <w:pStyle w:val="Piedepgina"/>
      <w:jc w:val="right"/>
      <w:rPr>
        <w:rFonts w:ascii="Times New Roman" w:hAnsi="Times New Roman" w:cs="Times New Roman"/>
        <w:i/>
      </w:rPr>
    </w:pPr>
    <w:r w:rsidRPr="00B748A8">
      <w:rPr>
        <w:rFonts w:ascii="Times New Roman" w:hAnsi="Times New Roman" w:cs="Times New Roman"/>
        <w:i/>
      </w:rPr>
      <w:t>https://www.itsup.edu.ec/sinapsis</w:t>
    </w:r>
  </w:p>
  <w:p w14:paraId="3A80BE62" w14:textId="77777777" w:rsidR="00BC1BB1" w:rsidRDefault="00BC1B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B0389" w14:textId="77777777" w:rsidR="00504025" w:rsidRDefault="00504025" w:rsidP="00BC1BB1">
      <w:pPr>
        <w:spacing w:after="0" w:line="240" w:lineRule="auto"/>
      </w:pPr>
      <w:r>
        <w:separator/>
      </w:r>
    </w:p>
  </w:footnote>
  <w:footnote w:type="continuationSeparator" w:id="0">
    <w:p w14:paraId="6897BED9" w14:textId="77777777" w:rsidR="00504025" w:rsidRDefault="00504025" w:rsidP="00BC1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BCA6" w14:textId="77777777" w:rsidR="00457CC8" w:rsidRDefault="00457CC8" w:rsidP="00457CC8">
    <w:pPr>
      <w:pStyle w:val="Encabezado"/>
      <w:jc w:val="right"/>
    </w:pPr>
    <w:proofErr w:type="spellStart"/>
    <w:r>
      <w:rPr>
        <w:rFonts w:ascii="Times New Roman" w:hAnsi="Times New Roman"/>
        <w:i/>
        <w:sz w:val="20"/>
      </w:rPr>
      <w:t>Revista</w:t>
    </w:r>
    <w:proofErr w:type="spellEnd"/>
    <w:r>
      <w:rPr>
        <w:rFonts w:ascii="Times New Roman" w:hAnsi="Times New Roman"/>
        <w:i/>
        <w:sz w:val="20"/>
      </w:rPr>
      <w:t xml:space="preserve"> </w:t>
    </w:r>
    <w:proofErr w:type="spellStart"/>
    <w:r>
      <w:rPr>
        <w:rFonts w:ascii="Times New Roman" w:hAnsi="Times New Roman"/>
        <w:i/>
        <w:sz w:val="20"/>
      </w:rPr>
      <w:t>Sinapsis</w:t>
    </w:r>
    <w:proofErr w:type="spellEnd"/>
    <w:r>
      <w:rPr>
        <w:rFonts w:ascii="Times New Roman" w:hAnsi="Times New Roman"/>
        <w:i/>
        <w:sz w:val="20"/>
      </w:rPr>
      <w:t xml:space="preserve">. </w:t>
    </w:r>
    <w:r>
      <w:rPr>
        <w:rStyle w:val="gridcellcontainer"/>
        <w:rFonts w:ascii="Times New Roman" w:hAnsi="Times New Roman"/>
        <w:i/>
        <w:sz w:val="20"/>
      </w:rPr>
      <w:t xml:space="preserve">Vol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xml:space="preserve">, </w:t>
    </w:r>
    <w:proofErr w:type="spellStart"/>
    <w:r>
      <w:rPr>
        <w:rFonts w:ascii="Times New Roman" w:hAnsi="Times New Roman"/>
        <w:i/>
        <w:sz w:val="20"/>
      </w:rPr>
      <w:t>junio</w:t>
    </w:r>
    <w:proofErr w:type="spellEnd"/>
    <w:r>
      <w:rPr>
        <w:rFonts w:ascii="Times New Roman" w:hAnsi="Times New Roman"/>
        <w:i/>
        <w:sz w:val="20"/>
      </w:rPr>
      <w:t xml:space="preserve"> de </w:t>
    </w:r>
    <w:proofErr w:type="gramStart"/>
    <w:r>
      <w:rPr>
        <w:rFonts w:ascii="Times New Roman" w:hAnsi="Times New Roman"/>
        <w:i/>
        <w:sz w:val="20"/>
      </w:rPr>
      <w:t>2020  |</w:t>
    </w:r>
    <w:proofErr w:type="gramEnd"/>
    <w:r>
      <w:rPr>
        <w:rFonts w:ascii="Times New Roman" w:hAnsi="Times New Roman"/>
        <w:i/>
        <w:sz w:val="20"/>
        <w:lang w:val="es-MX"/>
      </w:rPr>
      <w:t xml:space="preserve"> </w:t>
    </w:r>
    <w:r>
      <w:rPr>
        <w:rFonts w:ascii="Times New Roman" w:hAnsi="Times New Roman"/>
        <w:bCs/>
        <w:i/>
        <w:sz w:val="20"/>
      </w:rPr>
      <w:t>ISSN 1390 – 9770</w:t>
    </w:r>
  </w:p>
  <w:p w14:paraId="6E6F923A" w14:textId="77777777" w:rsidR="00BC1BB1" w:rsidRPr="00E14A06" w:rsidRDefault="00BC1BB1" w:rsidP="00BC1BB1">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47B6"/>
    <w:multiLevelType w:val="multilevel"/>
    <w:tmpl w:val="9466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863F1"/>
    <w:multiLevelType w:val="multilevel"/>
    <w:tmpl w:val="C96A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16"/>
    <w:rsid w:val="000057D6"/>
    <w:rsid w:val="00006137"/>
    <w:rsid w:val="00010A07"/>
    <w:rsid w:val="00011BD9"/>
    <w:rsid w:val="00022742"/>
    <w:rsid w:val="00075505"/>
    <w:rsid w:val="000848C9"/>
    <w:rsid w:val="000C4B14"/>
    <w:rsid w:val="000D62B3"/>
    <w:rsid w:val="000E7EF1"/>
    <w:rsid w:val="000F2651"/>
    <w:rsid w:val="00115790"/>
    <w:rsid w:val="001678D8"/>
    <w:rsid w:val="001870A6"/>
    <w:rsid w:val="001906B6"/>
    <w:rsid w:val="00197606"/>
    <w:rsid w:val="001A4BD3"/>
    <w:rsid w:val="001A77E3"/>
    <w:rsid w:val="001B2881"/>
    <w:rsid w:val="001B3A7C"/>
    <w:rsid w:val="001F591D"/>
    <w:rsid w:val="00237016"/>
    <w:rsid w:val="0023752C"/>
    <w:rsid w:val="00237AEC"/>
    <w:rsid w:val="00270D33"/>
    <w:rsid w:val="00277269"/>
    <w:rsid w:val="00283467"/>
    <w:rsid w:val="002907A6"/>
    <w:rsid w:val="0029084D"/>
    <w:rsid w:val="002B0F3E"/>
    <w:rsid w:val="002D724B"/>
    <w:rsid w:val="0030083F"/>
    <w:rsid w:val="00302A47"/>
    <w:rsid w:val="00345B2E"/>
    <w:rsid w:val="00382F07"/>
    <w:rsid w:val="003E452B"/>
    <w:rsid w:val="00440E43"/>
    <w:rsid w:val="00457CC8"/>
    <w:rsid w:val="00462B34"/>
    <w:rsid w:val="00472002"/>
    <w:rsid w:val="00496152"/>
    <w:rsid w:val="004B343B"/>
    <w:rsid w:val="004D7DA8"/>
    <w:rsid w:val="004F6120"/>
    <w:rsid w:val="00501298"/>
    <w:rsid w:val="00504025"/>
    <w:rsid w:val="0052406F"/>
    <w:rsid w:val="0056788D"/>
    <w:rsid w:val="005833A8"/>
    <w:rsid w:val="005833E7"/>
    <w:rsid w:val="005F51EE"/>
    <w:rsid w:val="00614981"/>
    <w:rsid w:val="00614D6A"/>
    <w:rsid w:val="00640235"/>
    <w:rsid w:val="00664C11"/>
    <w:rsid w:val="006748C0"/>
    <w:rsid w:val="006838BC"/>
    <w:rsid w:val="00687E05"/>
    <w:rsid w:val="006A49EA"/>
    <w:rsid w:val="006C0AB6"/>
    <w:rsid w:val="00705C15"/>
    <w:rsid w:val="00746515"/>
    <w:rsid w:val="00781687"/>
    <w:rsid w:val="0079409D"/>
    <w:rsid w:val="00795698"/>
    <w:rsid w:val="007B2F8F"/>
    <w:rsid w:val="007C1DC5"/>
    <w:rsid w:val="007D1003"/>
    <w:rsid w:val="007D22BB"/>
    <w:rsid w:val="007F4655"/>
    <w:rsid w:val="008454CD"/>
    <w:rsid w:val="00857D9E"/>
    <w:rsid w:val="008A5829"/>
    <w:rsid w:val="008E5094"/>
    <w:rsid w:val="008F3EBC"/>
    <w:rsid w:val="00903105"/>
    <w:rsid w:val="0090704C"/>
    <w:rsid w:val="00930F40"/>
    <w:rsid w:val="00961341"/>
    <w:rsid w:val="0097705A"/>
    <w:rsid w:val="009974A4"/>
    <w:rsid w:val="009A354A"/>
    <w:rsid w:val="009C5C30"/>
    <w:rsid w:val="009E5B8E"/>
    <w:rsid w:val="009F55C5"/>
    <w:rsid w:val="00A13A7B"/>
    <w:rsid w:val="00A174B7"/>
    <w:rsid w:val="00A43A28"/>
    <w:rsid w:val="00A96C88"/>
    <w:rsid w:val="00A96DED"/>
    <w:rsid w:val="00AE5D58"/>
    <w:rsid w:val="00AF003B"/>
    <w:rsid w:val="00B16DFA"/>
    <w:rsid w:val="00B5666C"/>
    <w:rsid w:val="00B57005"/>
    <w:rsid w:val="00B934C6"/>
    <w:rsid w:val="00BC1BB1"/>
    <w:rsid w:val="00BC537F"/>
    <w:rsid w:val="00BC5D23"/>
    <w:rsid w:val="00BD2804"/>
    <w:rsid w:val="00BD41BD"/>
    <w:rsid w:val="00BE0CD8"/>
    <w:rsid w:val="00C04F20"/>
    <w:rsid w:val="00C72586"/>
    <w:rsid w:val="00C737E7"/>
    <w:rsid w:val="00C9657D"/>
    <w:rsid w:val="00CB3456"/>
    <w:rsid w:val="00CB4F7B"/>
    <w:rsid w:val="00CC183B"/>
    <w:rsid w:val="00CC79D3"/>
    <w:rsid w:val="00CF0338"/>
    <w:rsid w:val="00D260C5"/>
    <w:rsid w:val="00D3581F"/>
    <w:rsid w:val="00D4218F"/>
    <w:rsid w:val="00D57A7F"/>
    <w:rsid w:val="00D85A5A"/>
    <w:rsid w:val="00D86B26"/>
    <w:rsid w:val="00DF2D19"/>
    <w:rsid w:val="00DF608F"/>
    <w:rsid w:val="00E00740"/>
    <w:rsid w:val="00E14A06"/>
    <w:rsid w:val="00E210C5"/>
    <w:rsid w:val="00E21AE2"/>
    <w:rsid w:val="00E252BA"/>
    <w:rsid w:val="00E343F5"/>
    <w:rsid w:val="00E37639"/>
    <w:rsid w:val="00E4502B"/>
    <w:rsid w:val="00E90164"/>
    <w:rsid w:val="00EA2F6A"/>
    <w:rsid w:val="00EE33F9"/>
    <w:rsid w:val="00F501FA"/>
    <w:rsid w:val="00F53D86"/>
    <w:rsid w:val="00F8593A"/>
    <w:rsid w:val="00FD0A49"/>
    <w:rsid w:val="00FE52EF"/>
    <w:rsid w:val="00FF517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456B"/>
  <w15:docId w15:val="{7BA371F1-5C60-4F55-BBFA-F031A9B5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43"/>
  </w:style>
  <w:style w:type="paragraph" w:styleId="Ttulo1">
    <w:name w:val="heading 1"/>
    <w:basedOn w:val="Normal"/>
    <w:next w:val="Normal"/>
    <w:link w:val="Ttulo1Car"/>
    <w:uiPriority w:val="9"/>
    <w:qFormat/>
    <w:rsid w:val="00382F07"/>
    <w:pPr>
      <w:keepNext/>
      <w:keepLines/>
      <w:spacing w:before="240" w:after="0"/>
      <w:outlineLvl w:val="0"/>
    </w:pPr>
    <w:rPr>
      <w:rFonts w:asciiTheme="majorHAnsi" w:eastAsiaTheme="majorEastAsia" w:hAnsiTheme="majorHAnsi" w:cstheme="majorBidi"/>
      <w:color w:val="2E74B5" w:themeColor="accent1" w:themeShade="BF"/>
      <w:sz w:val="32"/>
      <w:szCs w:val="32"/>
      <w:lang w:val="es-EC" w:eastAsia="es-EC"/>
    </w:rPr>
  </w:style>
  <w:style w:type="paragraph" w:styleId="Ttulo2">
    <w:name w:val="heading 2"/>
    <w:basedOn w:val="Normal"/>
    <w:link w:val="Ttulo2Car"/>
    <w:uiPriority w:val="9"/>
    <w:qFormat/>
    <w:rsid w:val="00472002"/>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237016"/>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Hipervnculo">
    <w:name w:val="Hyperlink"/>
    <w:basedOn w:val="Fuentedeprrafopredeter"/>
    <w:uiPriority w:val="99"/>
    <w:unhideWhenUsed/>
    <w:rsid w:val="00237016"/>
    <w:rPr>
      <w:color w:val="0000FF"/>
      <w:u w:val="single"/>
    </w:rPr>
  </w:style>
  <w:style w:type="paragraph" w:styleId="NormalWeb">
    <w:name w:val="Normal (Web)"/>
    <w:basedOn w:val="Normal"/>
    <w:uiPriority w:val="99"/>
    <w:unhideWhenUsed/>
    <w:rsid w:val="00237016"/>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Bibliografa">
    <w:name w:val="Bibliography"/>
    <w:basedOn w:val="Normal"/>
    <w:next w:val="Normal"/>
    <w:uiPriority w:val="37"/>
    <w:unhideWhenUsed/>
    <w:rsid w:val="00237016"/>
    <w:pPr>
      <w:spacing w:after="0" w:line="480" w:lineRule="auto"/>
      <w:ind w:left="720" w:hanging="720"/>
    </w:pPr>
  </w:style>
  <w:style w:type="character" w:styleId="Hipervnculovisitado">
    <w:name w:val="FollowedHyperlink"/>
    <w:basedOn w:val="Fuentedeprrafopredeter"/>
    <w:uiPriority w:val="99"/>
    <w:semiHidden/>
    <w:unhideWhenUsed/>
    <w:rsid w:val="00237016"/>
    <w:rPr>
      <w:color w:val="954F72" w:themeColor="followedHyperlink"/>
      <w:u w:val="single"/>
    </w:rPr>
  </w:style>
  <w:style w:type="table" w:styleId="Tablaconcuadrcula">
    <w:name w:val="Table Grid"/>
    <w:basedOn w:val="Tablanormal"/>
    <w:uiPriority w:val="39"/>
    <w:rsid w:val="00705C1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E37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E37639"/>
    <w:rPr>
      <w:rFonts w:ascii="Courier New" w:eastAsia="Times New Roman" w:hAnsi="Courier New" w:cs="Courier New"/>
      <w:sz w:val="20"/>
      <w:szCs w:val="20"/>
      <w:lang w:val="es-EC" w:eastAsia="es-EC"/>
    </w:rPr>
  </w:style>
  <w:style w:type="table" w:customStyle="1" w:styleId="Tabladecuadrcula2-nfasis31">
    <w:name w:val="Tabla de cuadrícula 2 - Énfasis 31"/>
    <w:basedOn w:val="Tablanormal"/>
    <w:uiPriority w:val="47"/>
    <w:rsid w:val="00E3763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21">
    <w:name w:val="Tabla de cuadrícula 21"/>
    <w:basedOn w:val="Tablanormal"/>
    <w:uiPriority w:val="47"/>
    <w:rsid w:val="009E5B8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9C5C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C30"/>
    <w:rPr>
      <w:rFonts w:ascii="Tahoma" w:hAnsi="Tahoma" w:cs="Tahoma"/>
      <w:sz w:val="16"/>
      <w:szCs w:val="16"/>
    </w:rPr>
  </w:style>
  <w:style w:type="character" w:customStyle="1" w:styleId="Ttulo2Car">
    <w:name w:val="Título 2 Car"/>
    <w:basedOn w:val="Fuentedeprrafopredeter"/>
    <w:link w:val="Ttulo2"/>
    <w:uiPriority w:val="9"/>
    <w:rsid w:val="00472002"/>
    <w:rPr>
      <w:rFonts w:ascii="Times New Roman" w:eastAsia="Times New Roman" w:hAnsi="Times New Roman" w:cs="Times New Roman"/>
      <w:b/>
      <w:bCs/>
      <w:sz w:val="36"/>
      <w:szCs w:val="36"/>
      <w:lang w:val="es-ES" w:eastAsia="es-ES"/>
    </w:rPr>
  </w:style>
  <w:style w:type="paragraph" w:styleId="Encabezado">
    <w:name w:val="header"/>
    <w:basedOn w:val="Normal"/>
    <w:link w:val="EncabezadoCar"/>
    <w:unhideWhenUsed/>
    <w:rsid w:val="00BC1BB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C1BB1"/>
  </w:style>
  <w:style w:type="paragraph" w:styleId="Piedepgina">
    <w:name w:val="footer"/>
    <w:basedOn w:val="Normal"/>
    <w:link w:val="PiedepginaCar"/>
    <w:uiPriority w:val="99"/>
    <w:unhideWhenUsed/>
    <w:rsid w:val="00BC1BB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C1BB1"/>
  </w:style>
  <w:style w:type="character" w:styleId="Refdecomentario">
    <w:name w:val="annotation reference"/>
    <w:basedOn w:val="Fuentedeprrafopredeter"/>
    <w:uiPriority w:val="99"/>
    <w:semiHidden/>
    <w:unhideWhenUsed/>
    <w:rsid w:val="006838BC"/>
    <w:rPr>
      <w:sz w:val="16"/>
      <w:szCs w:val="16"/>
    </w:rPr>
  </w:style>
  <w:style w:type="paragraph" w:styleId="Textocomentario">
    <w:name w:val="annotation text"/>
    <w:basedOn w:val="Normal"/>
    <w:link w:val="TextocomentarioCar"/>
    <w:uiPriority w:val="99"/>
    <w:semiHidden/>
    <w:unhideWhenUsed/>
    <w:rsid w:val="006838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38BC"/>
    <w:rPr>
      <w:sz w:val="20"/>
      <w:szCs w:val="20"/>
    </w:rPr>
  </w:style>
  <w:style w:type="paragraph" w:styleId="Asuntodelcomentario">
    <w:name w:val="annotation subject"/>
    <w:basedOn w:val="Textocomentario"/>
    <w:next w:val="Textocomentario"/>
    <w:link w:val="AsuntodelcomentarioCar"/>
    <w:uiPriority w:val="99"/>
    <w:semiHidden/>
    <w:unhideWhenUsed/>
    <w:rsid w:val="006838BC"/>
    <w:rPr>
      <w:b/>
      <w:bCs/>
    </w:rPr>
  </w:style>
  <w:style w:type="character" w:customStyle="1" w:styleId="AsuntodelcomentarioCar">
    <w:name w:val="Asunto del comentario Car"/>
    <w:basedOn w:val="TextocomentarioCar"/>
    <w:link w:val="Asuntodelcomentario"/>
    <w:uiPriority w:val="99"/>
    <w:semiHidden/>
    <w:rsid w:val="006838BC"/>
    <w:rPr>
      <w:b/>
      <w:bCs/>
      <w:sz w:val="20"/>
      <w:szCs w:val="20"/>
    </w:rPr>
  </w:style>
  <w:style w:type="table" w:styleId="Tabladecuadrcula2">
    <w:name w:val="Grid Table 2"/>
    <w:basedOn w:val="Tablanormal"/>
    <w:uiPriority w:val="47"/>
    <w:rsid w:val="009974A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1Car">
    <w:name w:val="Título 1 Car"/>
    <w:basedOn w:val="Fuentedeprrafopredeter"/>
    <w:link w:val="Ttulo1"/>
    <w:uiPriority w:val="9"/>
    <w:rsid w:val="00382F07"/>
    <w:rPr>
      <w:rFonts w:asciiTheme="majorHAnsi" w:eastAsiaTheme="majorEastAsia" w:hAnsiTheme="majorHAnsi" w:cstheme="majorBidi"/>
      <w:color w:val="2E74B5" w:themeColor="accent1" w:themeShade="BF"/>
      <w:sz w:val="32"/>
      <w:szCs w:val="32"/>
      <w:lang w:val="es-EC" w:eastAsia="es-EC"/>
    </w:rPr>
  </w:style>
  <w:style w:type="table" w:styleId="Tabladecuadrcula6concolores">
    <w:name w:val="Grid Table 6 Colorful"/>
    <w:basedOn w:val="Tablanormal"/>
    <w:uiPriority w:val="51"/>
    <w:rsid w:val="00BD41B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30083F"/>
    <w:pPr>
      <w:spacing w:after="0" w:line="240" w:lineRule="auto"/>
    </w:pPr>
  </w:style>
  <w:style w:type="character" w:customStyle="1" w:styleId="gridcellcontainer">
    <w:name w:val="gridcellcontainer"/>
    <w:rsid w:val="0045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998">
      <w:bodyDiv w:val="1"/>
      <w:marLeft w:val="0"/>
      <w:marRight w:val="0"/>
      <w:marTop w:val="0"/>
      <w:marBottom w:val="0"/>
      <w:divBdr>
        <w:top w:val="none" w:sz="0" w:space="0" w:color="auto"/>
        <w:left w:val="none" w:sz="0" w:space="0" w:color="auto"/>
        <w:bottom w:val="none" w:sz="0" w:space="0" w:color="auto"/>
        <w:right w:val="none" w:sz="0" w:space="0" w:color="auto"/>
      </w:divBdr>
    </w:div>
    <w:div w:id="88671203">
      <w:bodyDiv w:val="1"/>
      <w:marLeft w:val="0"/>
      <w:marRight w:val="0"/>
      <w:marTop w:val="0"/>
      <w:marBottom w:val="0"/>
      <w:divBdr>
        <w:top w:val="none" w:sz="0" w:space="0" w:color="auto"/>
        <w:left w:val="none" w:sz="0" w:space="0" w:color="auto"/>
        <w:bottom w:val="none" w:sz="0" w:space="0" w:color="auto"/>
        <w:right w:val="none" w:sz="0" w:space="0" w:color="auto"/>
      </w:divBdr>
    </w:div>
    <w:div w:id="400761536">
      <w:bodyDiv w:val="1"/>
      <w:marLeft w:val="0"/>
      <w:marRight w:val="0"/>
      <w:marTop w:val="0"/>
      <w:marBottom w:val="0"/>
      <w:divBdr>
        <w:top w:val="none" w:sz="0" w:space="0" w:color="auto"/>
        <w:left w:val="none" w:sz="0" w:space="0" w:color="auto"/>
        <w:bottom w:val="none" w:sz="0" w:space="0" w:color="auto"/>
        <w:right w:val="none" w:sz="0" w:space="0" w:color="auto"/>
      </w:divBdr>
    </w:div>
    <w:div w:id="692531864">
      <w:bodyDiv w:val="1"/>
      <w:marLeft w:val="0"/>
      <w:marRight w:val="0"/>
      <w:marTop w:val="0"/>
      <w:marBottom w:val="0"/>
      <w:divBdr>
        <w:top w:val="none" w:sz="0" w:space="0" w:color="auto"/>
        <w:left w:val="none" w:sz="0" w:space="0" w:color="auto"/>
        <w:bottom w:val="none" w:sz="0" w:space="0" w:color="auto"/>
        <w:right w:val="none" w:sz="0" w:space="0" w:color="auto"/>
      </w:divBdr>
    </w:div>
    <w:div w:id="724765308">
      <w:bodyDiv w:val="1"/>
      <w:marLeft w:val="0"/>
      <w:marRight w:val="0"/>
      <w:marTop w:val="0"/>
      <w:marBottom w:val="0"/>
      <w:divBdr>
        <w:top w:val="none" w:sz="0" w:space="0" w:color="auto"/>
        <w:left w:val="none" w:sz="0" w:space="0" w:color="auto"/>
        <w:bottom w:val="none" w:sz="0" w:space="0" w:color="auto"/>
        <w:right w:val="none" w:sz="0" w:space="0" w:color="auto"/>
      </w:divBdr>
    </w:div>
    <w:div w:id="1200506160">
      <w:bodyDiv w:val="1"/>
      <w:marLeft w:val="0"/>
      <w:marRight w:val="0"/>
      <w:marTop w:val="0"/>
      <w:marBottom w:val="0"/>
      <w:divBdr>
        <w:top w:val="none" w:sz="0" w:space="0" w:color="auto"/>
        <w:left w:val="none" w:sz="0" w:space="0" w:color="auto"/>
        <w:bottom w:val="none" w:sz="0" w:space="0" w:color="auto"/>
        <w:right w:val="none" w:sz="0" w:space="0" w:color="auto"/>
      </w:divBdr>
    </w:div>
    <w:div w:id="1512643690">
      <w:bodyDiv w:val="1"/>
      <w:marLeft w:val="0"/>
      <w:marRight w:val="0"/>
      <w:marTop w:val="0"/>
      <w:marBottom w:val="0"/>
      <w:divBdr>
        <w:top w:val="none" w:sz="0" w:space="0" w:color="auto"/>
        <w:left w:val="none" w:sz="0" w:space="0" w:color="auto"/>
        <w:bottom w:val="none" w:sz="0" w:space="0" w:color="auto"/>
        <w:right w:val="none" w:sz="0" w:space="0" w:color="auto"/>
      </w:divBdr>
    </w:div>
    <w:div w:id="1646162256">
      <w:bodyDiv w:val="1"/>
      <w:marLeft w:val="0"/>
      <w:marRight w:val="0"/>
      <w:marTop w:val="0"/>
      <w:marBottom w:val="0"/>
      <w:divBdr>
        <w:top w:val="none" w:sz="0" w:space="0" w:color="auto"/>
        <w:left w:val="none" w:sz="0" w:space="0" w:color="auto"/>
        <w:bottom w:val="none" w:sz="0" w:space="0" w:color="auto"/>
        <w:right w:val="none" w:sz="0" w:space="0" w:color="auto"/>
      </w:divBdr>
    </w:div>
    <w:div w:id="1731687334">
      <w:bodyDiv w:val="1"/>
      <w:marLeft w:val="0"/>
      <w:marRight w:val="0"/>
      <w:marTop w:val="0"/>
      <w:marBottom w:val="0"/>
      <w:divBdr>
        <w:top w:val="none" w:sz="0" w:space="0" w:color="auto"/>
        <w:left w:val="none" w:sz="0" w:space="0" w:color="auto"/>
        <w:bottom w:val="none" w:sz="0" w:space="0" w:color="auto"/>
        <w:right w:val="none" w:sz="0" w:space="0" w:color="auto"/>
      </w:divBdr>
    </w:div>
    <w:div w:id="1897348631">
      <w:bodyDiv w:val="1"/>
      <w:marLeft w:val="0"/>
      <w:marRight w:val="0"/>
      <w:marTop w:val="0"/>
      <w:marBottom w:val="0"/>
      <w:divBdr>
        <w:top w:val="none" w:sz="0" w:space="0" w:color="auto"/>
        <w:left w:val="none" w:sz="0" w:space="0" w:color="auto"/>
        <w:bottom w:val="none" w:sz="0" w:space="0" w:color="auto"/>
        <w:right w:val="none" w:sz="0" w:space="0" w:color="auto"/>
      </w:divBdr>
    </w:div>
    <w:div w:id="19774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mbranosantos@yahoo.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vite@hotmai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goth76@hotmil.com" TargetMode="External"/><Relationship Id="rId4" Type="http://schemas.openxmlformats.org/officeDocument/2006/relationships/settings" Target="settings.xml"/><Relationship Id="rId9" Type="http://schemas.openxmlformats.org/officeDocument/2006/relationships/hyperlink" Target="mailto:daniel.vite@hotmai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Lis19</b:Tag>
    <b:SourceType>JournalArticle</b:SourceType>
    <b:Guid>{EE89B932-23F1-4159-B713-FC5E0614C70A}</b:Guid>
    <b:Author>
      <b:Author>
        <b:NameList>
          <b:Person>
            <b:Last>Liseiky Nápoles Péres</b:Last>
            <b:First>Nieves</b:First>
            <b:Middle>Rodríguez Ramona</b:Middle>
          </b:Person>
        </b:NameList>
      </b:Author>
    </b:Author>
    <b:Title>La educación nutricional para ub adecuado estilo de vida</b:Title>
    <b:Year>2019</b:Year>
    <b:Month>febrero</b:Month>
    <b:Volume>dos</b:Volume>
    <b:Issue>1</b:Issue>
    <b:JournalName>Revista Atlante</b:JournalName>
    <b:RefOrder>1</b:RefOrder>
  </b:Source>
  <b:Source>
    <b:Tag>Par14</b:Tag>
    <b:SourceType>JournalArticle</b:SourceType>
    <b:Guid>{020F081F-1B31-409D-A2D8-6DB1FD20A296}</b:Guid>
    <b:Title>Respuesta gastronómica para individuos con diabetes</b:Title>
    <b:Year>2014</b:Year>
    <b:Author>
      <b:Author>
        <b:NameList>
          <b:Person>
            <b:Last>Pardo</b:Last>
            <b:First>Escallón</b:First>
            <b:Middle>Consuelo</b:Middle>
          </b:Person>
          <b:Person>
            <b:Last>Vila</b:Last>
            <b:First>Carvajal</b:First>
            <b:Middle>Natalia</b:Middle>
          </b:Person>
          <b:Person>
            <b:Last>Espinel</b:Last>
            <b:First>Luís</b:First>
            <b:Middle>Fernando</b:Middle>
          </b:Person>
        </b:NameList>
      </b:Author>
    </b:Author>
    <b:JournalName>Alimentos Hoy</b:JournalName>
    <b:Pages>10</b:Pages>
    <b:RefOrder>2</b:RefOrder>
  </b:Source>
</b:Sources>
</file>

<file path=customXml/itemProps1.xml><?xml version="1.0" encoding="utf-8"?>
<ds:datastoreItem xmlns:ds="http://schemas.openxmlformats.org/officeDocument/2006/customXml" ds:itemID="{0CA6E252-C144-4AB1-A2FF-CE19EAED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12828</Words>
  <Characters>70560</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Roberth Patricio Zambrano Ubillús</dc:creator>
  <cp:lastModifiedBy>Admin Systema</cp:lastModifiedBy>
  <cp:revision>2</cp:revision>
  <dcterms:created xsi:type="dcterms:W3CDTF">2020-12-10T22:07:00Z</dcterms:created>
  <dcterms:modified xsi:type="dcterms:W3CDTF">2020-12-10T22:07:00Z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zotero-version="5.0.76"&gt;&lt;session id="0LT8OJG6"/&gt;&lt;style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